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Banco de 20 preguntas · rentabilidad</w:t>
      </w:r>
    </w:p>
    <w:p>
      <w:pPr>
        <w:pStyle w:val="sub"/>
      </w:pPr>
      <w:r>
        <w:t xml:space="preserve">ENCAPS / SERUMS 2026-II  ·  preguntas, sin claves</w:t>
      </w:r>
    </w:p>
    <w:p>
      <w:pPr>
        <w:pStyle w:val="sub"/>
      </w:pPr>
      <w:r>
        <w:t xml:space="preserve">Ponderado por el pronóstico walk-forward v2: II 33 · I 28 · V 22 · III 13 · IV 4</w:t>
      </w:r>
    </w:p>
    <w:p>
      <w:pPr>
        <w:pStyle w:val="sub"/>
      </w:pPr>
      <w:r>
        <w:t xml:space="preserve">Generado el 05-ago-2026  ·  examen: domingo 09-ago-2026</w:t>
      </w:r>
    </w:p>
    <w:p>
      <w:pPr>
        <w:spacing w:after="200"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400"/>
        <w:gridCol w:w="1400"/>
        <w:gridCol w:w="1600"/>
        <w:gridCol w:w="5000"/>
      </w:tblGrid>
      <w:tr>
        <w:trPr>
          <w:tblHeader/>
        </w:trPr>
        <w:tc>
          <w:tcPr>
            <w:tcW w:type="dxa" w:w="2000"/>
            <w:tcBorders>
              <w:top w:val="single" w:color="BFBFBF" w:sz="1"/>
              <w:left w:val="single" w:color="BFBFBF" w:sz="1"/>
              <w:bottom w:val="single" w:color="BFBFBF" w:sz="1"/>
              <w:right w:val="single" w:color="BFBFBF" w:sz="1"/>
            </w:tcBorders>
            <w:shd w:fill="F2F2F2" w:val="clear"/>
          </w:tcPr>
          <w:p>
            <w:r>
              <w:rPr>
                <w:b/>
                <w:bCs/>
                <w:sz w:val="17"/>
                <w:szCs w:val="17"/>
              </w:rPr>
              <w:t xml:space="preserve">Área</w:t>
            </w:r>
          </w:p>
        </w:tc>
        <w:tc>
          <w:tcPr>
            <w:tcW w:type="dxa" w:w="2000"/>
            <w:tcBorders>
              <w:top w:val="single" w:color="BFBFBF" w:sz="1"/>
              <w:left w:val="single" w:color="BFBFBF" w:sz="1"/>
              <w:bottom w:val="single" w:color="BFBFBF" w:sz="1"/>
              <w:right w:val="single" w:color="BFBFBF" w:sz="1"/>
            </w:tcBorders>
            <w:shd w:fill="F2F2F2" w:val="clear"/>
          </w:tcPr>
          <w:p>
            <w:r>
              <w:rPr>
                <w:b/>
                <w:bCs/>
                <w:sz w:val="17"/>
                <w:szCs w:val="17"/>
              </w:rPr>
              <w:t xml:space="preserve">En el banco</w:t>
            </w:r>
          </w:p>
        </w:tc>
        <w:tc>
          <w:tcPr>
            <w:tcW w:type="dxa" w:w="2000"/>
            <w:tcBorders>
              <w:top w:val="single" w:color="BFBFBF" w:sz="1"/>
              <w:left w:val="single" w:color="BFBFBF" w:sz="1"/>
              <w:bottom w:val="single" w:color="BFBFBF" w:sz="1"/>
              <w:right w:val="single" w:color="BFBFBF" w:sz="1"/>
            </w:tcBorders>
            <w:shd w:fill="F2F2F2" w:val="clear"/>
          </w:tcPr>
          <w:p>
            <w:r>
              <w:rPr>
                <w:b/>
                <w:bCs/>
                <w:sz w:val="17"/>
                <w:szCs w:val="17"/>
              </w:rPr>
              <w:t xml:space="preserve">Pronóstico</w:t>
            </w:r>
          </w:p>
        </w:tc>
        <w:tc>
          <w:tcPr>
            <w:tcW w:type="dxa" w:w="2000"/>
            <w:tcBorders>
              <w:top w:val="single" w:color="BFBFBF" w:sz="1"/>
              <w:left w:val="single" w:color="BFBFBF" w:sz="1"/>
              <w:bottom w:val="single" w:color="BFBFBF" w:sz="1"/>
              <w:right w:val="single" w:color="BFBFBF" w:sz="1"/>
            </w:tcBorders>
            <w:shd w:fill="F2F2F2" w:val="clear"/>
          </w:tcPr>
          <w:p>
            <w:r>
              <w:rPr>
                <w:b/>
                <w:bCs/>
                <w:sz w:val="17"/>
                <w:szCs w:val="17"/>
              </w:rPr>
              <w:t xml:space="preserve">Temas incluidos</w:t>
            </w:r>
          </w:p>
        </w:tc>
      </w:tr>
      <w:tr>
        <w:tc>
          <w:tcPr>
            <w:tcW w:type="dxa" w:w="2000"/>
            <w:tcBorders>
              <w:top w:val="single" w:color="BFBFBF" w:sz="1"/>
              <w:left w:val="single" w:color="BFBFBF" w:sz="1"/>
              <w:bottom w:val="single" w:color="BFBFBF" w:sz="1"/>
              <w:right w:val="single" w:color="BFBFBF" w:sz="1"/>
            </w:tcBorders>
          </w:tcPr>
          <w:p>
            <w:r>
              <w:rPr>
                <w:sz w:val="17"/>
                <w:szCs w:val="17"/>
              </w:rPr>
              <w:t xml:space="preserve">II — Cuidado Integral</w:t>
            </w:r>
          </w:p>
        </w:tc>
        <w:tc>
          <w:tcPr>
            <w:tcW w:type="dxa" w:w="2000"/>
            <w:tcBorders>
              <w:top w:val="single" w:color="BFBFBF" w:sz="1"/>
              <w:left w:val="single" w:color="BFBFBF" w:sz="1"/>
              <w:bottom w:val="single" w:color="BFBFBF" w:sz="1"/>
              <w:right w:val="single" w:color="BFBFBF" w:sz="1"/>
            </w:tcBorders>
          </w:tcPr>
          <w:p>
            <w:r>
              <w:rPr>
                <w:sz w:val="17"/>
                <w:szCs w:val="17"/>
              </w:rPr>
              <w:t xml:space="preserve">7 (35 %)</w:t>
            </w:r>
          </w:p>
        </w:tc>
        <w:tc>
          <w:tcPr>
            <w:tcW w:type="dxa" w:w="2000"/>
            <w:tcBorders>
              <w:top w:val="single" w:color="BFBFBF" w:sz="1"/>
              <w:left w:val="single" w:color="BFBFBF" w:sz="1"/>
              <w:bottom w:val="single" w:color="BFBFBF" w:sz="1"/>
              <w:right w:val="single" w:color="BFBFBF" w:sz="1"/>
            </w:tcBorders>
          </w:tcPr>
          <w:p>
            <w:r>
              <w:rPr>
                <w:sz w:val="17"/>
                <w:szCs w:val="17"/>
              </w:rPr>
              <w:t xml:space="preserve">33 %</w:t>
            </w:r>
          </w:p>
        </w:tc>
        <w:tc>
          <w:tcPr>
            <w:tcW w:type="dxa" w:w="2000"/>
            <w:tcBorders>
              <w:top w:val="single" w:color="BFBFBF" w:sz="1"/>
              <w:left w:val="single" w:color="BFBFBF" w:sz="1"/>
              <w:bottom w:val="single" w:color="BFBFBF" w:sz="1"/>
              <w:right w:val="single" w:color="BFBFBF" w:sz="1"/>
            </w:tcBorders>
          </w:tcPr>
          <w:p>
            <w:r>
              <w:rPr>
                <w:sz w:val="17"/>
                <w:szCs w:val="17"/>
              </w:rPr>
              <w:t xml:space="preserve">II-1 ×2, II-3 ×2, II-11 ×2, II-8 ×1</w:t>
            </w:r>
          </w:p>
        </w:tc>
      </w:tr>
      <w:tr>
        <w:tc>
          <w:tcPr>
            <w:tcW w:type="dxa" w:w="2000"/>
            <w:tcBorders>
              <w:top w:val="single" w:color="BFBFBF" w:sz="1"/>
              <w:left w:val="single" w:color="BFBFBF" w:sz="1"/>
              <w:bottom w:val="single" w:color="BFBFBF" w:sz="1"/>
              <w:right w:val="single" w:color="BFBFBF" w:sz="1"/>
            </w:tcBorders>
          </w:tcPr>
          <w:p>
            <w:r>
              <w:rPr>
                <w:sz w:val="17"/>
                <w:szCs w:val="17"/>
              </w:rPr>
              <w:t xml:space="preserve">I — Salud Pública</w:t>
            </w:r>
          </w:p>
        </w:tc>
        <w:tc>
          <w:tcPr>
            <w:tcW w:type="dxa" w:w="2000"/>
            <w:tcBorders>
              <w:top w:val="single" w:color="BFBFBF" w:sz="1"/>
              <w:left w:val="single" w:color="BFBFBF" w:sz="1"/>
              <w:bottom w:val="single" w:color="BFBFBF" w:sz="1"/>
              <w:right w:val="single" w:color="BFBFBF" w:sz="1"/>
            </w:tcBorders>
          </w:tcPr>
          <w:p>
            <w:r>
              <w:rPr>
                <w:sz w:val="17"/>
                <w:szCs w:val="17"/>
              </w:rPr>
              <w:t xml:space="preserve">5 (25 %)</w:t>
            </w:r>
          </w:p>
        </w:tc>
        <w:tc>
          <w:tcPr>
            <w:tcW w:type="dxa" w:w="2000"/>
            <w:tcBorders>
              <w:top w:val="single" w:color="BFBFBF" w:sz="1"/>
              <w:left w:val="single" w:color="BFBFBF" w:sz="1"/>
              <w:bottom w:val="single" w:color="BFBFBF" w:sz="1"/>
              <w:right w:val="single" w:color="BFBFBF" w:sz="1"/>
            </w:tcBorders>
          </w:tcPr>
          <w:p>
            <w:r>
              <w:rPr>
                <w:sz w:val="17"/>
                <w:szCs w:val="17"/>
              </w:rPr>
              <w:t xml:space="preserve">28 %</w:t>
            </w:r>
          </w:p>
        </w:tc>
        <w:tc>
          <w:tcPr>
            <w:tcW w:type="dxa" w:w="2000"/>
            <w:tcBorders>
              <w:top w:val="single" w:color="BFBFBF" w:sz="1"/>
              <w:left w:val="single" w:color="BFBFBF" w:sz="1"/>
              <w:bottom w:val="single" w:color="BFBFBF" w:sz="1"/>
              <w:right w:val="single" w:color="BFBFBF" w:sz="1"/>
            </w:tcBorders>
          </w:tcPr>
          <w:p>
            <w:r>
              <w:rPr>
                <w:sz w:val="17"/>
                <w:szCs w:val="17"/>
              </w:rPr>
              <w:t xml:space="preserve">I-3 ×3, I-5 ×1, I-1 ×1</w:t>
            </w:r>
          </w:p>
        </w:tc>
      </w:tr>
      <w:tr>
        <w:tc>
          <w:tcPr>
            <w:tcW w:type="dxa" w:w="2000"/>
            <w:tcBorders>
              <w:top w:val="single" w:color="BFBFBF" w:sz="1"/>
              <w:left w:val="single" w:color="BFBFBF" w:sz="1"/>
              <w:bottom w:val="single" w:color="BFBFBF" w:sz="1"/>
              <w:right w:val="single" w:color="BFBFBF" w:sz="1"/>
            </w:tcBorders>
          </w:tcPr>
          <w:p>
            <w:r>
              <w:rPr>
                <w:sz w:val="17"/>
                <w:szCs w:val="17"/>
              </w:rPr>
              <w:t xml:space="preserve">V — Gestión</w:t>
            </w:r>
          </w:p>
        </w:tc>
        <w:tc>
          <w:tcPr>
            <w:tcW w:type="dxa" w:w="2000"/>
            <w:tcBorders>
              <w:top w:val="single" w:color="BFBFBF" w:sz="1"/>
              <w:left w:val="single" w:color="BFBFBF" w:sz="1"/>
              <w:bottom w:val="single" w:color="BFBFBF" w:sz="1"/>
              <w:right w:val="single" w:color="BFBFBF" w:sz="1"/>
            </w:tcBorders>
          </w:tcPr>
          <w:p>
            <w:r>
              <w:rPr>
                <w:sz w:val="17"/>
                <w:szCs w:val="17"/>
              </w:rPr>
              <w:t xml:space="preserve">5 (25 %)</w:t>
            </w:r>
          </w:p>
        </w:tc>
        <w:tc>
          <w:tcPr>
            <w:tcW w:type="dxa" w:w="2000"/>
            <w:tcBorders>
              <w:top w:val="single" w:color="BFBFBF" w:sz="1"/>
              <w:left w:val="single" w:color="BFBFBF" w:sz="1"/>
              <w:bottom w:val="single" w:color="BFBFBF" w:sz="1"/>
              <w:right w:val="single" w:color="BFBFBF" w:sz="1"/>
            </w:tcBorders>
          </w:tcPr>
          <w:p>
            <w:r>
              <w:rPr>
                <w:sz w:val="17"/>
                <w:szCs w:val="17"/>
              </w:rPr>
              <w:t xml:space="preserve">22 %</w:t>
            </w:r>
          </w:p>
        </w:tc>
        <w:tc>
          <w:tcPr>
            <w:tcW w:type="dxa" w:w="2000"/>
            <w:tcBorders>
              <w:top w:val="single" w:color="BFBFBF" w:sz="1"/>
              <w:left w:val="single" w:color="BFBFBF" w:sz="1"/>
              <w:bottom w:val="single" w:color="BFBFBF" w:sz="1"/>
              <w:right w:val="single" w:color="BFBFBF" w:sz="1"/>
            </w:tcBorders>
          </w:tcPr>
          <w:p>
            <w:r>
              <w:rPr>
                <w:sz w:val="17"/>
                <w:szCs w:val="17"/>
              </w:rPr>
              <w:t xml:space="preserve">V-2 ×3, V-1 ×1, V-3 ×1</w:t>
            </w:r>
          </w:p>
        </w:tc>
      </w:tr>
      <w:tr>
        <w:tc>
          <w:tcPr>
            <w:tcW w:type="dxa" w:w="2000"/>
            <w:tcBorders>
              <w:top w:val="single" w:color="BFBFBF" w:sz="1"/>
              <w:left w:val="single" w:color="BFBFBF" w:sz="1"/>
              <w:bottom w:val="single" w:color="BFBFBF" w:sz="1"/>
              <w:right w:val="single" w:color="BFBFBF" w:sz="1"/>
            </w:tcBorders>
          </w:tcPr>
          <w:p>
            <w:r>
              <w:rPr>
                <w:sz w:val="17"/>
                <w:szCs w:val="17"/>
              </w:rPr>
              <w:t xml:space="preserve">III — Ética / Intercultural</w:t>
            </w:r>
          </w:p>
        </w:tc>
        <w:tc>
          <w:tcPr>
            <w:tcW w:type="dxa" w:w="2000"/>
            <w:tcBorders>
              <w:top w:val="single" w:color="BFBFBF" w:sz="1"/>
              <w:left w:val="single" w:color="BFBFBF" w:sz="1"/>
              <w:bottom w:val="single" w:color="BFBFBF" w:sz="1"/>
              <w:right w:val="single" w:color="BFBFBF" w:sz="1"/>
            </w:tcBorders>
          </w:tcPr>
          <w:p>
            <w:r>
              <w:rPr>
                <w:sz w:val="17"/>
                <w:szCs w:val="17"/>
              </w:rPr>
              <w:t xml:space="preserve">3 (15 %)</w:t>
            </w:r>
          </w:p>
        </w:tc>
        <w:tc>
          <w:tcPr>
            <w:tcW w:type="dxa" w:w="2000"/>
            <w:tcBorders>
              <w:top w:val="single" w:color="BFBFBF" w:sz="1"/>
              <w:left w:val="single" w:color="BFBFBF" w:sz="1"/>
              <w:bottom w:val="single" w:color="BFBFBF" w:sz="1"/>
              <w:right w:val="single" w:color="BFBFBF" w:sz="1"/>
            </w:tcBorders>
          </w:tcPr>
          <w:p>
            <w:r>
              <w:rPr>
                <w:sz w:val="17"/>
                <w:szCs w:val="17"/>
              </w:rPr>
              <w:t xml:space="preserve">13 %</w:t>
            </w:r>
          </w:p>
        </w:tc>
        <w:tc>
          <w:tcPr>
            <w:tcW w:type="dxa" w:w="2000"/>
            <w:tcBorders>
              <w:top w:val="single" w:color="BFBFBF" w:sz="1"/>
              <w:left w:val="single" w:color="BFBFBF" w:sz="1"/>
              <w:bottom w:val="single" w:color="BFBFBF" w:sz="1"/>
              <w:right w:val="single" w:color="BFBFBF" w:sz="1"/>
            </w:tcBorders>
          </w:tcPr>
          <w:p>
            <w:r>
              <w:rPr>
                <w:sz w:val="17"/>
                <w:szCs w:val="17"/>
              </w:rPr>
              <w:t xml:space="preserve">III-5 ×2, III-8 ×1</w:t>
            </w:r>
          </w:p>
        </w:tc>
      </w:tr>
      <w:tr>
        <w:tc>
          <w:tcPr>
            <w:tcW w:type="dxa" w:w="2000"/>
            <w:tcBorders>
              <w:top w:val="single" w:color="BFBFBF" w:sz="1"/>
              <w:left w:val="single" w:color="BFBFBF" w:sz="1"/>
              <w:bottom w:val="single" w:color="BFBFBF" w:sz="1"/>
              <w:right w:val="single" w:color="BFBFBF" w:sz="1"/>
            </w:tcBorders>
          </w:tcPr>
          <w:p>
            <w:r>
              <w:rPr>
                <w:sz w:val="17"/>
                <w:szCs w:val="17"/>
              </w:rPr>
              <w:t xml:space="preserve">IV — Investigación</w:t>
            </w:r>
          </w:p>
        </w:tc>
        <w:tc>
          <w:tcPr>
            <w:tcW w:type="dxa" w:w="2000"/>
            <w:tcBorders>
              <w:top w:val="single" w:color="BFBFBF" w:sz="1"/>
              <w:left w:val="single" w:color="BFBFBF" w:sz="1"/>
              <w:bottom w:val="single" w:color="BFBFBF" w:sz="1"/>
              <w:right w:val="single" w:color="BFBFBF" w:sz="1"/>
            </w:tcBorders>
          </w:tcPr>
          <w:p>
            <w:r>
              <w:rPr>
                <w:sz w:val="17"/>
                <w:szCs w:val="17"/>
              </w:rPr>
              <w:t xml:space="preserve">0</w:t>
            </w:r>
          </w:p>
        </w:tc>
        <w:tc>
          <w:tcPr>
            <w:tcW w:type="dxa" w:w="2000"/>
            <w:tcBorders>
              <w:top w:val="single" w:color="BFBFBF" w:sz="1"/>
              <w:left w:val="single" w:color="BFBFBF" w:sz="1"/>
              <w:bottom w:val="single" w:color="BFBFBF" w:sz="1"/>
              <w:right w:val="single" w:color="BFBFBF" w:sz="1"/>
            </w:tcBorders>
          </w:tcPr>
          <w:p>
            <w:r>
              <w:rPr>
                <w:sz w:val="17"/>
                <w:szCs w:val="17"/>
              </w:rPr>
              <w:t xml:space="preserve">4 %</w:t>
            </w:r>
          </w:p>
        </w:tc>
        <w:tc>
          <w:tcPr>
            <w:tcW w:type="dxa" w:w="2000"/>
            <w:tcBorders>
              <w:top w:val="single" w:color="BFBFBF" w:sz="1"/>
              <w:left w:val="single" w:color="BFBFBF" w:sz="1"/>
              <w:bottom w:val="single" w:color="BFBFBF" w:sz="1"/>
              <w:right w:val="single" w:color="BFBFBF" w:sz="1"/>
            </w:tcBorders>
          </w:tcPr>
          <w:p>
            <w:r>
              <w:rPr>
                <w:sz w:val="17"/>
                <w:szCs w:val="17"/>
              </w:rPr>
              <w:t xml:space="preserve">0,8 redondea a 0 — coherente con el plan</w:t>
            </w:r>
          </w:p>
        </w:tc>
      </w:tr>
    </w:tbl>
    <w:p>
      <w:pPr>
        <w:pStyle w:val="h4"/>
      </w:pPr>
      <w:r>
        <w:t xml:space="preserve">Cómo resolverlo</w:t>
      </w:r>
    </w:p>
    <w:p>
      <w:pPr>
        <w:pStyle w:val="sm"/>
      </w:pPr>
      <w:r>
        <w:t xml:space="preserve">A ciegas y de corrido, sin consultar nada. 4 alternativas, clave única. Anotá tu letra y tu nivel de confianza (segura / dudosa / adivinada) antes de mirar el solucionario: el porcentaje que vale es el de las seguras. Meta: 17 / 20.</w:t>
      </w:r>
    </w:p>
    <w:p>
      <w:pPr>
        <w:pStyle w:val="sm"/>
      </w:pPr>
      <w:r>
        <w:t xml:space="preserve">Cada clave está anclada a un ángulo que ya cayó en examen real o a normativa citada con número y año.</w:t>
      </w:r>
    </w:p>
    <w:p>
      <w:r>
        <w:br w:type="page"/>
      </w:r>
    </w:p>
    <w:p>
      <w:pPr>
        <w:pStyle w:val="tag"/>
      </w:pPr>
      <w:r>
        <w:t xml:space="preserve">I-3 · Investigación de brote · 12 pts · crítico n.º 1</w:t>
      </w:r>
    </w:p>
    <w:p>
      <w:pPr>
        <w:pStyle w:val="enun"/>
      </w:pPr>
      <w:r>
        <w:rPr>
          <w:b/>
          <w:bCs/>
        </w:rPr>
        <w:t xml:space="preserve">1. </w:t>
      </w:r>
      <w:r>
        <w:t xml:space="preserve">En Huamanguilla (Ayacucho), un P.S. I-2 recibe en 4 días a 9 escolares de la misma institución educativa con fiebre e ictericia. El serumista comunica a la microrred y se dispone investigar. ¿Cuál es la PRIMERA etapa de la investigación?</w:t>
      </w:r>
    </w:p>
    <w:p>
      <w:pPr>
        <w:pStyle w:val="opt"/>
      </w:pPr>
      <w:r>
        <w:t xml:space="preserve">A)  Intervención y control del brote</w:t>
      </w:r>
    </w:p>
    <w:p>
      <w:pPr>
        <w:pStyle w:val="opt"/>
      </w:pPr>
      <w:r>
        <w:t xml:space="preserve">B)  Investigación preliminar: verificar el diagnóstico y confirmar la existencia del brote</w:t>
      </w:r>
    </w:p>
    <w:p>
      <w:pPr>
        <w:pStyle w:val="opt"/>
      </w:pPr>
      <w:r>
        <w:t xml:space="preserve">C)  Formular la hipótesis sobre la fuente de infección</w:t>
      </w:r>
    </w:p>
    <w:p>
      <w:pPr>
        <w:pStyle w:val="opt"/>
      </w:pPr>
      <w:r>
        <w:t xml:space="preserve">D)  Elaborar la curva epidémica</w:t>
      </w:r>
    </w:p>
    <w:p>
      <w:pPr>
        <w:pStyle w:val="src"/>
      </w:pPr>
      <w:r>
        <w:t xml:space="preserve">Tu respuesta: ______        Confianza:  segura / dudosa / adivinada</w:t>
      </w:r>
    </w:p>
    <w:p>
      <w:pPr>
        <w:pStyle w:val="tag"/>
      </w:pPr>
      <w:r>
        <w:t xml:space="preserve">I-3 · Cadena epidemiológica · 12 pts · crítico n.º 1</w:t>
      </w:r>
    </w:p>
    <w:p>
      <w:pPr>
        <w:pStyle w:val="enun"/>
      </w:pPr>
      <w:r>
        <w:rPr>
          <w:b/>
          <w:bCs/>
        </w:rPr>
        <w:t xml:space="preserve">2. </w:t>
      </w:r>
      <w:r>
        <w:t xml:space="preserve">En una comunidad de Lamas (San Martín), un niño con tos ferina tose y las gotitas quedan suspendidas en el aire; su hermano las inhala y enferma. Las gotitas suspendidas en el aire corresponden al eslabón:</w:t>
      </w:r>
    </w:p>
    <w:p>
      <w:pPr>
        <w:pStyle w:val="opt"/>
      </w:pPr>
      <w:r>
        <w:t xml:space="preserve">A)  Puerta de salida</w:t>
      </w:r>
    </w:p>
    <w:p>
      <w:pPr>
        <w:pStyle w:val="opt"/>
      </w:pPr>
      <w:r>
        <w:t xml:space="preserve">B)  Vía o mecanismo de transmisión</w:t>
      </w:r>
    </w:p>
    <w:p>
      <w:pPr>
        <w:pStyle w:val="opt"/>
      </w:pPr>
      <w:r>
        <w:t xml:space="preserve">C)  Puerta de entrada</w:t>
      </w:r>
    </w:p>
    <w:p>
      <w:pPr>
        <w:pStyle w:val="opt"/>
      </w:pPr>
      <w:r>
        <w:t xml:space="preserve">D)  Reservorio</w:t>
      </w:r>
    </w:p>
    <w:p>
      <w:pPr>
        <w:pStyle w:val="src"/>
      </w:pPr>
      <w:r>
        <w:t xml:space="preserve">Tu respuesta: ______        Confianza:  segura / dudosa / adivinada</w:t>
      </w:r>
    </w:p>
    <w:p>
      <w:pPr>
        <w:pStyle w:val="tag"/>
      </w:pPr>
      <w:r>
        <w:t xml:space="preserve">I-3 · Escala epidemiológica · 12 pts · crítico n.º 1</w:t>
      </w:r>
    </w:p>
    <w:p>
      <w:pPr>
        <w:pStyle w:val="enun"/>
      </w:pPr>
      <w:r>
        <w:rPr>
          <w:b/>
          <w:bCs/>
        </w:rPr>
        <w:t xml:space="preserve">3. </w:t>
      </w:r>
      <w:r>
        <w:t xml:space="preserve">En un distrito de Loreto el promedio de los últimos 5 años es de 45 casos anuales de malaria. Este año, al mismo corte, se registran 130 casos distribuidos en todo el distrito. ¿Qué término describe esta situación?</w:t>
      </w:r>
    </w:p>
    <w:p>
      <w:pPr>
        <w:pStyle w:val="opt"/>
      </w:pPr>
      <w:r>
        <w:t xml:space="preserve">A)  Endemia</w:t>
      </w:r>
    </w:p>
    <w:p>
      <w:pPr>
        <w:pStyle w:val="opt"/>
      </w:pPr>
      <w:r>
        <w:t xml:space="preserve">B)  Epidemia</w:t>
      </w:r>
    </w:p>
    <w:p>
      <w:pPr>
        <w:pStyle w:val="opt"/>
      </w:pPr>
      <w:r>
        <w:t xml:space="preserve">C)  Brote</w:t>
      </w:r>
    </w:p>
    <w:p>
      <w:pPr>
        <w:pStyle w:val="opt"/>
      </w:pPr>
      <w:r>
        <w:t xml:space="preserve">D)  Epizootia</w:t>
      </w:r>
    </w:p>
    <w:p>
      <w:pPr>
        <w:pStyle w:val="src"/>
      </w:pPr>
      <w:r>
        <w:t xml:space="preserve">Tu respuesta: ______        Confianza:  segura / dudosa / adivinada</w:t>
      </w:r>
    </w:p>
    <w:p>
      <w:pPr>
        <w:pStyle w:val="tag"/>
      </w:pPr>
      <w:r>
        <w:t xml:space="preserve">I-5 · Determinantes sociales · 4 pts</w:t>
      </w:r>
    </w:p>
    <w:p>
      <w:pPr>
        <w:pStyle w:val="enun"/>
      </w:pPr>
      <w:r>
        <w:rPr>
          <w:b/>
          <w:bCs/>
        </w:rPr>
        <w:t xml:space="preserve">4. </w:t>
      </w:r>
      <w:r>
        <w:t xml:space="preserve">En un AA.HH. de Villa El Salvador la enfermera del P.S. I-2 identifica que la desnutrición infantil se concentra en las familias con menor nivel educativo materno y empleo informal. Según el modelo de la Comisión de Determinantes Sociales (OMS 2008), el nivel educativo y la ocupación son determinantes:</w:t>
      </w:r>
    </w:p>
    <w:p>
      <w:pPr>
        <w:pStyle w:val="opt"/>
      </w:pPr>
      <w:r>
        <w:t xml:space="preserve">A)  Intermedios</w:t>
      </w:r>
    </w:p>
    <w:p>
      <w:pPr>
        <w:pStyle w:val="opt"/>
      </w:pPr>
      <w:r>
        <w:t xml:space="preserve">B)  Estructurales</w:t>
      </w:r>
    </w:p>
    <w:p>
      <w:pPr>
        <w:pStyle w:val="opt"/>
      </w:pPr>
      <w:r>
        <w:t xml:space="preserve">C)  Biológicos</w:t>
      </w:r>
    </w:p>
    <w:p>
      <w:pPr>
        <w:pStyle w:val="opt"/>
      </w:pPr>
      <w:r>
        <w:t xml:space="preserve">D)  De estilo de vida</w:t>
      </w:r>
    </w:p>
    <w:p>
      <w:pPr>
        <w:pStyle w:val="src"/>
      </w:pPr>
      <w:r>
        <w:t xml:space="preserve">Tu respuesta: ______        Confianza:  segura / dudosa / adivinada</w:t>
      </w:r>
    </w:p>
    <w:p>
      <w:pPr>
        <w:pStyle w:val="tag"/>
      </w:pPr>
      <w:r>
        <w:t xml:space="preserve">I-1 · Estrategia de promoción · tema del día (D8)</w:t>
      </w:r>
    </w:p>
    <w:p>
      <w:pPr>
        <w:pStyle w:val="enun"/>
      </w:pPr>
      <w:r>
        <w:rPr>
          <w:b/>
          <w:bCs/>
        </w:rPr>
        <w:t xml:space="preserve">5. </w:t>
      </w:r>
      <w:r>
        <w:t xml:space="preserve">El médico serumista de un C.S. I-3 de Pasco convoca al alcalde distrital, al comisario, al director de la I.E. y al párroco para diseñar juntos un plan contra el consumo de alcohol en adolescentes. ¿Qué estrategia está aplicando?</w:t>
      </w:r>
    </w:p>
    <w:p>
      <w:pPr>
        <w:pStyle w:val="opt"/>
      </w:pPr>
      <w:r>
        <w:t xml:space="preserve">A)  Participación ciudadana</w:t>
      </w:r>
    </w:p>
    <w:p>
      <w:pPr>
        <w:pStyle w:val="opt"/>
      </w:pPr>
      <w:r>
        <w:t xml:space="preserve">B)  Intersectorialidad</w:t>
      </w:r>
    </w:p>
    <w:p>
      <w:pPr>
        <w:pStyle w:val="opt"/>
      </w:pPr>
      <w:r>
        <w:t xml:space="preserve">C)  Empoderamiento comunitario</w:t>
      </w:r>
    </w:p>
    <w:p>
      <w:pPr>
        <w:pStyle w:val="opt"/>
      </w:pPr>
      <w:r>
        <w:t xml:space="preserve">D)  Comunicación social</w:t>
      </w:r>
    </w:p>
    <w:p>
      <w:pPr>
        <w:pStyle w:val="src"/>
      </w:pPr>
      <w:r>
        <w:t xml:space="preserve">Tu respuesta: ______        Confianza:  segura / dudosa / adivinada</w:t>
      </w:r>
    </w:p>
    <w:p>
      <w:pPr>
        <w:pStyle w:val="tag"/>
      </w:pPr>
      <w:r>
        <w:t xml:space="preserve">II-1 · Conducta según capacidad resolutiva · 5 pts · CRÍTICO</w:t>
      </w:r>
    </w:p>
    <w:p>
      <w:pPr>
        <w:pStyle w:val="enun"/>
      </w:pPr>
      <w:r>
        <w:rPr>
          <w:b/>
          <w:bCs/>
        </w:rPr>
        <w:t xml:space="preserve">6. </w:t>
      </w:r>
      <w:r>
        <w:t xml:space="preserve">Gestante de 24 años, 39 semanas, embarazo de bajo riesgo con 8 controles prenatales, llega a un C.S. I-3 de Cajamarca en periodo expulsivo. El establecimiento tiene médico y obstetra de turno. La conducta correcta es:</w:t>
      </w:r>
    </w:p>
    <w:p>
      <w:pPr>
        <w:pStyle w:val="opt"/>
      </w:pPr>
      <w:r>
        <w:t xml:space="preserve">A)  Referir de inmediato al hospital II-1 en ambulancia</w:t>
      </w:r>
    </w:p>
    <w:p>
      <w:pPr>
        <w:pStyle w:val="opt"/>
      </w:pPr>
      <w:r>
        <w:t xml:space="preserve">B)  Atender el parto en el establecimiento</w:t>
      </w:r>
    </w:p>
    <w:p>
      <w:pPr>
        <w:pStyle w:val="opt"/>
      </w:pPr>
      <w:r>
        <w:t xml:space="preserve">C)  Indicar retorno al domicilio acompañada de la partera</w:t>
      </w:r>
    </w:p>
    <w:p>
      <w:pPr>
        <w:pStyle w:val="opt"/>
      </w:pPr>
      <w:r>
        <w:t xml:space="preserve">D)  Esperar la referencia sin intervenir</w:t>
      </w:r>
    </w:p>
    <w:p>
      <w:pPr>
        <w:pStyle w:val="src"/>
      </w:pPr>
      <w:r>
        <w:t xml:space="preserve">Tu respuesta: ______        Confianza:  segura / dudosa / adivinada</w:t>
      </w:r>
    </w:p>
    <w:p>
      <w:pPr>
        <w:pStyle w:val="tag"/>
      </w:pPr>
      <w:r>
        <w:t xml:space="preserve">II-1 · Emergencia hipertensiva del embarazo · 5 pts · CRÍTICO</w:t>
      </w:r>
    </w:p>
    <w:p>
      <w:pPr>
        <w:pStyle w:val="enun"/>
      </w:pPr>
      <w:r>
        <w:rPr>
          <w:b/>
          <w:bCs/>
        </w:rPr>
        <w:t xml:space="preserve">7. </w:t>
      </w:r>
      <w:r>
        <w:t xml:space="preserve">Gestante de 34 semanas acude al C.S. I-4 de Huánuco con cefalea intensa y visión borrosa. PA 170/110 mmHg, reflejos aumentados. ¿Cuál es la conducta farmacológica inicial mientras se coordina la referencia?</w:t>
      </w:r>
    </w:p>
    <w:p>
      <w:pPr>
        <w:pStyle w:val="opt"/>
      </w:pPr>
      <w:r>
        <w:t xml:space="preserve">A)  Sulfato de magnesio endovenoso</w:t>
      </w:r>
    </w:p>
    <w:p>
      <w:pPr>
        <w:pStyle w:val="opt"/>
      </w:pPr>
      <w:r>
        <w:t xml:space="preserve">B)  Furosemida endovenosa</w:t>
      </w:r>
    </w:p>
    <w:p>
      <w:pPr>
        <w:pStyle w:val="opt"/>
      </w:pPr>
      <w:r>
        <w:t xml:space="preserve">C)  Diazepam endovenoso</w:t>
      </w:r>
    </w:p>
    <w:p>
      <w:pPr>
        <w:pStyle w:val="opt"/>
      </w:pPr>
      <w:r>
        <w:t xml:space="preserve">D)  Captopril sublingual</w:t>
      </w:r>
    </w:p>
    <w:p>
      <w:pPr>
        <w:pStyle w:val="src"/>
      </w:pPr>
      <w:r>
        <w:t xml:space="preserve">Tu respuesta: ______        Confianza:  segura / dudosa / adivinada</w:t>
      </w:r>
    </w:p>
    <w:p>
      <w:pPr>
        <w:pStyle w:val="tag"/>
      </w:pPr>
      <w:r>
        <w:t xml:space="preserve">II-3 · ESAVI vs evento coincidente · 5 pts · CRÍTICO</w:t>
      </w:r>
    </w:p>
    <w:p>
      <w:pPr>
        <w:pStyle w:val="enun"/>
      </w:pPr>
      <w:r>
        <w:rPr>
          <w:b/>
          <w:bCs/>
        </w:rPr>
        <w:t xml:space="preserve">8. </w:t>
      </w:r>
      <w:r>
        <w:t xml:space="preserve">Lactante de 5 meses recibe pentavalente en un P.S. I-2 de Cusco. A las 72 horas ingresa con fiebre alta y dificultad respiratoria; se confirma neumonía neumocócica. ¿Cómo se clasifica el evento?</w:t>
      </w:r>
    </w:p>
    <w:p>
      <w:pPr>
        <w:pStyle w:val="opt"/>
      </w:pPr>
      <w:r>
        <w:t xml:space="preserve">A)  ESAVI grave atribuible a la vacuna</w:t>
      </w:r>
    </w:p>
    <w:p>
      <w:pPr>
        <w:pStyle w:val="opt"/>
      </w:pPr>
      <w:r>
        <w:t xml:space="preserve">B)  Evento coincidente</w:t>
      </w:r>
    </w:p>
    <w:p>
      <w:pPr>
        <w:pStyle w:val="opt"/>
      </w:pPr>
      <w:r>
        <w:t xml:space="preserve">C)  Reacción adversa medicamentosa (RAM)</w:t>
      </w:r>
    </w:p>
    <w:p>
      <w:pPr>
        <w:pStyle w:val="opt"/>
      </w:pPr>
      <w:r>
        <w:t xml:space="preserve">D)  Error programático de vacunación</w:t>
      </w:r>
    </w:p>
    <w:p>
      <w:pPr>
        <w:pStyle w:val="src"/>
      </w:pPr>
      <w:r>
        <w:t xml:space="preserve">Tu respuesta: ______        Confianza:  segura / dudosa / adivinada</w:t>
      </w:r>
    </w:p>
    <w:p>
      <w:pPr>
        <w:pStyle w:val="tag"/>
      </w:pPr>
      <w:r>
        <w:t xml:space="preserve">II-3 · Esquema del recién nacido · 5 pts · CRÍTICO</w:t>
      </w:r>
    </w:p>
    <w:p>
      <w:pPr>
        <w:pStyle w:val="enun"/>
      </w:pPr>
      <w:r>
        <w:rPr>
          <w:b/>
          <w:bCs/>
        </w:rPr>
        <w:t xml:space="preserve">9. </w:t>
      </w:r>
      <w:r>
        <w:t xml:space="preserve">Recién nacido de parto domiciliario en una comunidad de Amazonas es llevado al P.S. I-1 a las 10 horas de vida, sin vacunas. ¿Qué corresponde aplicar?</w:t>
      </w:r>
    </w:p>
    <w:p>
      <w:pPr>
        <w:pStyle w:val="opt"/>
      </w:pPr>
      <w:r>
        <w:t xml:space="preserve">A)  BCG y antihepatitis B dentro de las primeras 24 horas</w:t>
      </w:r>
    </w:p>
    <w:p>
      <w:pPr>
        <w:pStyle w:val="opt"/>
      </w:pPr>
      <w:r>
        <w:t xml:space="preserve">B)  BCG únicamente; la antihepatitis B a los 2 meses</w:t>
      </w:r>
    </w:p>
    <w:p>
      <w:pPr>
        <w:pStyle w:val="opt"/>
      </w:pPr>
      <w:r>
        <w:t xml:space="preserve">C)  Pentavalente y antipolio</w:t>
      </w:r>
    </w:p>
    <w:p>
      <w:pPr>
        <w:pStyle w:val="opt"/>
      </w:pPr>
      <w:r>
        <w:t xml:space="preserve">D)  Antihepatitis B únicamente</w:t>
      </w:r>
    </w:p>
    <w:p>
      <w:pPr>
        <w:pStyle w:val="src"/>
      </w:pPr>
      <w:r>
        <w:t xml:space="preserve">Tu respuesta: ______        Confianza:  segura / dudosa / adivinada</w:t>
      </w:r>
    </w:p>
    <w:p>
      <w:pPr>
        <w:pStyle w:val="tag"/>
      </w:pPr>
      <w:r>
        <w:t xml:space="preserve">II-11 · Sífilis: esquema según estadio · 5 pts · CRÍTICO</w:t>
      </w:r>
    </w:p>
    <w:p>
      <w:pPr>
        <w:pStyle w:val="enun"/>
      </w:pPr>
      <w:r>
        <w:rPr>
          <w:b/>
          <w:bCs/>
        </w:rPr>
        <w:t xml:space="preserve">10. </w:t>
      </w:r>
      <w:r>
        <w:t xml:space="preserve">Varón de 38 años, asintomático, acude a un C.S. I-3 de Piura. RPR reactivo. No precisa el tiempo de infección ni recuerda lesiones previas. Corresponde indicar:</w:t>
      </w:r>
    </w:p>
    <w:p>
      <w:pPr>
        <w:pStyle w:val="opt"/>
      </w:pPr>
      <w:r>
        <w:t xml:space="preserve">A)  Penicilina G benzatínica 2,4 millones UI IM, dosis única</w:t>
      </w:r>
    </w:p>
    <w:p>
      <w:pPr>
        <w:pStyle w:val="opt"/>
      </w:pPr>
      <w:r>
        <w:t xml:space="preserve">B)  Penicilina G benzatínica 2,4 millones UI IM semanal por 3 semanas</w:t>
      </w:r>
    </w:p>
    <w:p>
      <w:pPr>
        <w:pStyle w:val="opt"/>
      </w:pPr>
      <w:r>
        <w:t xml:space="preserve">C)  Doxiciclina 100 mg VO cada 12 horas por 14 días</w:t>
      </w:r>
    </w:p>
    <w:p>
      <w:pPr>
        <w:pStyle w:val="opt"/>
      </w:pPr>
      <w:r>
        <w:t xml:space="preserve">D)  Penicilina G sódica EV por 14 días</w:t>
      </w:r>
    </w:p>
    <w:p>
      <w:pPr>
        <w:pStyle w:val="src"/>
      </w:pPr>
      <w:r>
        <w:t xml:space="preserve">Tu respuesta: ______        Confianza:  segura / dudosa / adivinada</w:t>
      </w:r>
    </w:p>
    <w:p>
      <w:pPr>
        <w:pStyle w:val="tag"/>
      </w:pPr>
      <w:r>
        <w:t xml:space="preserve">II-11 · Tamizaje dual en gestante · 5 pts · CRÍTICO</w:t>
      </w:r>
    </w:p>
    <w:p>
      <w:pPr>
        <w:pStyle w:val="enun"/>
      </w:pPr>
      <w:r>
        <w:rPr>
          <w:b/>
          <w:bCs/>
        </w:rPr>
        <w:t xml:space="preserve">11. </w:t>
      </w:r>
      <w:r>
        <w:t xml:space="preserve">Gestante de 30 semanas sin ningún control prenatal acude por primera vez a un P.S. I-2 rural de Loreto. ¿Qué tamizaje corresponde aplicar en esa misma consulta?</w:t>
      </w:r>
    </w:p>
    <w:p>
      <w:pPr>
        <w:pStyle w:val="opt"/>
      </w:pPr>
      <w:r>
        <w:t xml:space="preserve">A)  Prueba rápida dual VIH/sífilis (PRD)</w:t>
      </w:r>
    </w:p>
    <w:p>
      <w:pPr>
        <w:pStyle w:val="opt"/>
      </w:pPr>
      <w:r>
        <w:t xml:space="preserve">B)  ELISA para VIH y RPR procesados en laboratorio</w:t>
      </w:r>
    </w:p>
    <w:p>
      <w:pPr>
        <w:pStyle w:val="opt"/>
      </w:pPr>
      <w:r>
        <w:t xml:space="preserve">C)  Carga viral y prueba treponémica confirmatoria</w:t>
      </w:r>
    </w:p>
    <w:p>
      <w:pPr>
        <w:pStyle w:val="opt"/>
      </w:pPr>
      <w:r>
        <w:t xml:space="preserve">D)  Prueba rápida solo de VIH; sífilis en el siguiente control</w:t>
      </w:r>
    </w:p>
    <w:p>
      <w:pPr>
        <w:pStyle w:val="src"/>
      </w:pPr>
      <w:r>
        <w:t xml:space="preserve">Tu respuesta: ______        Confianza:  segura / dudosa / adivinada</w:t>
      </w:r>
    </w:p>
    <w:p>
      <w:pPr>
        <w:pStyle w:val="tag"/>
      </w:pPr>
      <w:r>
        <w:t xml:space="preserve">II-8 · Confirmar antes de tratar · 4 pts · CRÍTICO</w:t>
      </w:r>
    </w:p>
    <w:p>
      <w:pPr>
        <w:pStyle w:val="enun"/>
      </w:pPr>
      <w:r>
        <w:rPr>
          <w:b/>
          <w:bCs/>
        </w:rPr>
        <w:t xml:space="preserve">12. </w:t>
      </w:r>
      <w:r>
        <w:t xml:space="preserve">Varón de 52 años, asintomático, acude a chequeo en un C.S. I-3 de Lambayeque. Glicemia en ayunas 120 mg/dL. Sin diagnóstico previo ni síntomas. La conducta correcta es:</w:t>
      </w:r>
    </w:p>
    <w:p>
      <w:pPr>
        <w:pStyle w:val="opt"/>
      </w:pPr>
      <w:r>
        <w:t xml:space="preserve">A)  Iniciar metformina de inmediato</w:t>
      </w:r>
    </w:p>
    <w:p>
      <w:pPr>
        <w:pStyle w:val="opt"/>
      </w:pPr>
      <w:r>
        <w:t xml:space="preserve">B)  Repetir la glicemia en ayunas para confirmar</w:t>
      </w:r>
    </w:p>
    <w:p>
      <w:pPr>
        <w:pStyle w:val="opt"/>
      </w:pPr>
      <w:r>
        <w:t xml:space="preserve">C)  Diagnosticar diabetes mellitus tipo 2 e ingresar a HEARTS</w:t>
      </w:r>
    </w:p>
    <w:p>
      <w:pPr>
        <w:pStyle w:val="opt"/>
      </w:pPr>
      <w:r>
        <w:t xml:space="preserve">D)  Indicar solo dieta y control en un año</w:t>
      </w:r>
    </w:p>
    <w:p>
      <w:pPr>
        <w:pStyle w:val="src"/>
      </w:pPr>
      <w:r>
        <w:t xml:space="preserve">Tu respuesta: ______        Confianza:  segura / dudosa / adivinada</w:t>
      </w:r>
    </w:p>
    <w:p>
      <w:pPr>
        <w:pStyle w:val="tag"/>
      </w:pPr>
      <w:r>
        <w:t xml:space="preserve">V-2 · PEI vs POI · 9 pts · crítico n.º 2</w:t>
      </w:r>
    </w:p>
    <w:p>
      <w:pPr>
        <w:pStyle w:val="enun"/>
      </w:pPr>
      <w:r>
        <w:rPr>
          <w:b/>
          <w:bCs/>
        </w:rPr>
        <w:t xml:space="preserve">13. </w:t>
      </w:r>
      <w:r>
        <w:t xml:space="preserve">El documento que programa las actividades operativas y las inversiones del año fiscal, con metas físicas y financieras, alineado al plan estratégico de la institución, es:</w:t>
      </w:r>
    </w:p>
    <w:p>
      <w:pPr>
        <w:pStyle w:val="opt"/>
      </w:pPr>
      <w:r>
        <w:t xml:space="preserve">A)  Plan Estratégico Institucional (PEI)</w:t>
      </w:r>
    </w:p>
    <w:p>
      <w:pPr>
        <w:pStyle w:val="opt"/>
      </w:pPr>
      <w:r>
        <w:t xml:space="preserve">B)  Plan Operativo Institucional (POI)</w:t>
      </w:r>
    </w:p>
    <w:p>
      <w:pPr>
        <w:pStyle w:val="opt"/>
      </w:pPr>
      <w:r>
        <w:t xml:space="preserve">C)  Plan Estratégico de Desarrollo Nacional (PEDN)</w:t>
      </w:r>
    </w:p>
    <w:p>
      <w:pPr>
        <w:pStyle w:val="opt"/>
      </w:pPr>
      <w:r>
        <w:t xml:space="preserve">D)  Reglamento de Organización y Funciones (ROF)</w:t>
      </w:r>
    </w:p>
    <w:p>
      <w:pPr>
        <w:pStyle w:val="src"/>
      </w:pPr>
      <w:r>
        <w:t xml:space="preserve">Tu respuesta: ______        Confianza:  segura / dudosa / adivinada</w:t>
      </w:r>
    </w:p>
    <w:p>
      <w:pPr>
        <w:pStyle w:val="tag"/>
      </w:pPr>
      <w:r>
        <w:t xml:space="preserve">V-2 · Horizonte del PEI · 9 pts · crítico n.º 2</w:t>
      </w:r>
    </w:p>
    <w:p>
      <w:pPr>
        <w:pStyle w:val="enun"/>
      </w:pPr>
      <w:r>
        <w:rPr>
          <w:b/>
          <w:bCs/>
        </w:rPr>
        <w:t xml:space="preserve">14. </w:t>
      </w:r>
      <w:r>
        <w:t xml:space="preserve">Conforme a la guía vigente de CEPLAN (Directiva 001-2024), el horizonte de planeamiento del Plan Estratégico Institucional (PEI) de una DIRESA es de:</w:t>
      </w:r>
    </w:p>
    <w:p>
      <w:pPr>
        <w:pStyle w:val="opt"/>
      </w:pPr>
      <w:r>
        <w:t xml:space="preserve">A)  1 año</w:t>
      </w:r>
    </w:p>
    <w:p>
      <w:pPr>
        <w:pStyle w:val="opt"/>
      </w:pPr>
      <w:r>
        <w:t xml:space="preserve">B)  3 años</w:t>
      </w:r>
    </w:p>
    <w:p>
      <w:pPr>
        <w:pStyle w:val="opt"/>
      </w:pPr>
      <w:r>
        <w:t xml:space="preserve">C)  5 años</w:t>
      </w:r>
    </w:p>
    <w:p>
      <w:pPr>
        <w:pStyle w:val="opt"/>
      </w:pPr>
      <w:r>
        <w:t xml:space="preserve">D)  10 años</w:t>
      </w:r>
    </w:p>
    <w:p>
      <w:pPr>
        <w:pStyle w:val="src"/>
      </w:pPr>
      <w:r>
        <w:t xml:space="preserve">Tu respuesta: ______        Confianza:  segura / dudosa / adivinada</w:t>
      </w:r>
    </w:p>
    <w:p>
      <w:pPr>
        <w:pStyle w:val="tag"/>
      </w:pPr>
      <w:r>
        <w:t xml:space="preserve">V-2 · FODA · 9 pts · crítico n.º 2</w:t>
      </w:r>
    </w:p>
    <w:p>
      <w:pPr>
        <w:pStyle w:val="enun"/>
      </w:pPr>
      <w:r>
        <w:rPr>
          <w:b/>
          <w:bCs/>
        </w:rPr>
        <w:t xml:space="preserve">15. </w:t>
      </w:r>
      <w:r>
        <w:t xml:space="preserve">En el análisis FODA de un C.S. I-3 de Junín, el equipo identifica que la población de la zona mantiene el hábito de automedicarse y de acudir tardíamente al servicio. Este factor se clasifica como:</w:t>
      </w:r>
    </w:p>
    <w:p>
      <w:pPr>
        <w:pStyle w:val="opt"/>
      </w:pPr>
      <w:r>
        <w:t xml:space="preserve">A)  Debilidad</w:t>
      </w:r>
    </w:p>
    <w:p>
      <w:pPr>
        <w:pStyle w:val="opt"/>
      </w:pPr>
      <w:r>
        <w:t xml:space="preserve">B)  Amenaza</w:t>
      </w:r>
    </w:p>
    <w:p>
      <w:pPr>
        <w:pStyle w:val="opt"/>
      </w:pPr>
      <w:r>
        <w:t xml:space="preserve">C)  Oportunidad</w:t>
      </w:r>
    </w:p>
    <w:p>
      <w:pPr>
        <w:pStyle w:val="opt"/>
      </w:pPr>
      <w:r>
        <w:t xml:space="preserve">D)  Fortaleza</w:t>
      </w:r>
    </w:p>
    <w:p>
      <w:pPr>
        <w:pStyle w:val="src"/>
      </w:pPr>
      <w:r>
        <w:t xml:space="preserve">Tu respuesta: ______        Confianza:  segura / dudosa / adivinada</w:t>
      </w:r>
    </w:p>
    <w:p>
      <w:pPr>
        <w:pStyle w:val="tag"/>
      </w:pPr>
      <w:r>
        <w:t xml:space="preserve">V-1 · UPSS y categoría · 3 pts</w:t>
      </w:r>
    </w:p>
    <w:p>
      <w:pPr>
        <w:pStyle w:val="enun"/>
      </w:pPr>
      <w:r>
        <w:rPr>
          <w:b/>
          <w:bCs/>
        </w:rPr>
        <w:t xml:space="preserve">16. </w:t>
      </w:r>
      <w:r>
        <w:t xml:space="preserve">Un establecimiento de salud cuenta únicamente con la UPSS Consulta Externa, atendida por médico cirujano, con actividades intramurales y extramurales. ¿Qué categoría le corresponde?</w:t>
      </w:r>
    </w:p>
    <w:p>
      <w:pPr>
        <w:pStyle w:val="opt"/>
      </w:pPr>
      <w:r>
        <w:t xml:space="preserve">A)  I-1</w:t>
      </w:r>
    </w:p>
    <w:p>
      <w:pPr>
        <w:pStyle w:val="opt"/>
      </w:pPr>
      <w:r>
        <w:t xml:space="preserve">B)  I-2</w:t>
      </w:r>
    </w:p>
    <w:p>
      <w:pPr>
        <w:pStyle w:val="opt"/>
      </w:pPr>
      <w:r>
        <w:t xml:space="preserve">C)  I-3</w:t>
      </w:r>
    </w:p>
    <w:p>
      <w:pPr>
        <w:pStyle w:val="opt"/>
      </w:pPr>
      <w:r>
        <w:t xml:space="preserve">D)  I-4</w:t>
      </w:r>
    </w:p>
    <w:p>
      <w:pPr>
        <w:pStyle w:val="src"/>
      </w:pPr>
      <w:r>
        <w:t xml:space="preserve">Tu respuesta: ______        Confianza:  segura / dudosa / adivinada</w:t>
      </w:r>
    </w:p>
    <w:p>
      <w:pPr>
        <w:pStyle w:val="tag"/>
      </w:pPr>
      <w:r>
        <w:t xml:space="preserve">V-3 · Condición de contrarreferencia · referencia y RIS</w:t>
      </w:r>
    </w:p>
    <w:p>
      <w:pPr>
        <w:pStyle w:val="enun"/>
      </w:pPr>
      <w:r>
        <w:rPr>
          <w:b/>
          <w:bCs/>
        </w:rPr>
        <w:t xml:space="preserve">17. </w:t>
      </w:r>
      <w:r>
        <w:t xml:space="preserve">Un paciente referido al hospital II-1 por gastritis retorna a su C.S. I-3 de origen con indicación de continuar el tratamiento, pues el problema se resolvió solo parcialmente. La condición de contrarreferencia que corresponde es:</w:t>
      </w:r>
    </w:p>
    <w:p>
      <w:pPr>
        <w:pStyle w:val="opt"/>
      </w:pPr>
      <w:r>
        <w:t xml:space="preserve">A)  Curado</w:t>
      </w:r>
    </w:p>
    <w:p>
      <w:pPr>
        <w:pStyle w:val="opt"/>
      </w:pPr>
      <w:r>
        <w:t xml:space="preserve">B)  Mejorado</w:t>
      </w:r>
    </w:p>
    <w:p>
      <w:pPr>
        <w:pStyle w:val="opt"/>
      </w:pPr>
      <w:r>
        <w:t xml:space="preserve">C)  Estacionario</w:t>
      </w:r>
    </w:p>
    <w:p>
      <w:pPr>
        <w:pStyle w:val="opt"/>
      </w:pPr>
      <w:r>
        <w:t xml:space="preserve">D)  Alta definitiva</w:t>
      </w:r>
    </w:p>
    <w:p>
      <w:pPr>
        <w:pStyle w:val="src"/>
      </w:pPr>
      <w:r>
        <w:t xml:space="preserve">Tu respuesta: ______        Confianza:  segura / dudosa / adivinada</w:t>
      </w:r>
    </w:p>
    <w:p>
      <w:pPr>
        <w:pStyle w:val="tag"/>
      </w:pPr>
      <w:r>
        <w:t xml:space="preserve">III-5 · Conflicto intercultural · 5 pts · CRÍTICO</w:t>
      </w:r>
    </w:p>
    <w:p>
      <w:pPr>
        <w:pStyle w:val="enun"/>
      </w:pPr>
      <w:r>
        <w:rPr>
          <w:b/>
          <w:bCs/>
        </w:rPr>
        <w:t xml:space="preserve">18. </w:t>
      </w:r>
      <w:r>
        <w:t xml:space="preserve">En una comunidad ashaninka, la familia de una niña con neumonía rechaza el tratamiento del P.S. porque su sistema de salud tradicional atribuye el mal a otra causa y confía en el curandero. Personal y familia no logran acuerdo. ¿Qué situación se configura?</w:t>
      </w:r>
    </w:p>
    <w:p>
      <w:pPr>
        <w:pStyle w:val="opt"/>
      </w:pPr>
      <w:r>
        <w:t xml:space="preserve">A)  Aculturación</w:t>
      </w:r>
    </w:p>
    <w:p>
      <w:pPr>
        <w:pStyle w:val="opt"/>
      </w:pPr>
      <w:r>
        <w:t xml:space="preserve">B)  Conflicto intercultural</w:t>
      </w:r>
    </w:p>
    <w:p>
      <w:pPr>
        <w:pStyle w:val="opt"/>
      </w:pPr>
      <w:r>
        <w:t xml:space="preserve">C)  Sincretismo cultural</w:t>
      </w:r>
    </w:p>
    <w:p>
      <w:pPr>
        <w:pStyle w:val="opt"/>
      </w:pPr>
      <w:r>
        <w:t xml:space="preserve">D)  Relativismo cultural</w:t>
      </w:r>
    </w:p>
    <w:p>
      <w:pPr>
        <w:pStyle w:val="src"/>
      </w:pPr>
      <w:r>
        <w:t xml:space="preserve">Tu respuesta: ______        Confianza:  segura / dudosa / adivinada</w:t>
      </w:r>
    </w:p>
    <w:p>
      <w:pPr>
        <w:pStyle w:val="tag"/>
      </w:pPr>
      <w:r>
        <w:t xml:space="preserve">III-5 · Pertinencia cultural · 5 pts · CRÍTICO</w:t>
      </w:r>
    </w:p>
    <w:p>
      <w:pPr>
        <w:pStyle w:val="enun"/>
      </w:pPr>
      <w:r>
        <w:rPr>
          <w:b/>
          <w:bCs/>
        </w:rPr>
        <w:t xml:space="preserve">19. </w:t>
      </w:r>
      <w:r>
        <w:t xml:space="preserve">La pertinencia cultural en los servicios de salud implica que durante todo el proceso de la atención se tomen en cuenta las características de la población que se atiende, en función de su cultura y contexto social. Evalúa cuatro dimensiones: gestión para la calidad de la atención, revaloración del sistema de salud tradicional, recursos humanos que promueven la salud intercultural y la...</w:t>
      </w:r>
    </w:p>
    <w:p>
      <w:pPr>
        <w:pStyle w:val="opt"/>
      </w:pPr>
      <w:r>
        <w:t xml:space="preserve">A)  atención intercultural.</w:t>
      </w:r>
    </w:p>
    <w:p>
      <w:pPr>
        <w:pStyle w:val="opt"/>
      </w:pPr>
      <w:r>
        <w:t xml:space="preserve">B)  interculturalidad en salud.</w:t>
      </w:r>
    </w:p>
    <w:p>
      <w:pPr>
        <w:pStyle w:val="opt"/>
      </w:pPr>
      <w:r>
        <w:t xml:space="preserve">C)  participación ciudadana.</w:t>
      </w:r>
    </w:p>
    <w:p>
      <w:pPr>
        <w:pStyle w:val="opt"/>
      </w:pPr>
      <w:r>
        <w:t xml:space="preserve">D)  inclusión social.</w:t>
      </w:r>
    </w:p>
    <w:p>
      <w:pPr>
        <w:pStyle w:val="src"/>
      </w:pPr>
      <w:r>
        <w:t xml:space="preserve">Tu respuesta: ______        Confianza:  segura / dudosa / adivinada</w:t>
      </w:r>
    </w:p>
    <w:p>
      <w:pPr>
        <w:pStyle w:val="tag"/>
      </w:pPr>
      <w:r>
        <w:t xml:space="preserve">III-8 · Principios del servidor público · 4 pts</w:t>
      </w:r>
    </w:p>
    <w:p>
      <w:pPr>
        <w:pStyle w:val="enun"/>
      </w:pPr>
      <w:r>
        <w:rPr>
          <w:b/>
          <w:bCs/>
        </w:rPr>
        <w:t xml:space="preserve">20. </w:t>
      </w:r>
      <w:r>
        <w:t xml:space="preserve">El serumista atiende a un paciente con un diagnóstico que exige reserva. Al manejar esa información conforme a la Ley 27815, ¿qué principios del servidor público está cumpliendo?</w:t>
      </w:r>
    </w:p>
    <w:p>
      <w:pPr>
        <w:pStyle w:val="opt"/>
      </w:pPr>
      <w:r>
        <w:t xml:space="preserve">A)  Silencio y manejo de la información</w:t>
      </w:r>
    </w:p>
    <w:p>
      <w:pPr>
        <w:pStyle w:val="opt"/>
      </w:pPr>
      <w:r>
        <w:t xml:space="preserve">B)  Respeto, probidad y eficiencia</w:t>
      </w:r>
    </w:p>
    <w:p>
      <w:pPr>
        <w:pStyle w:val="opt"/>
      </w:pPr>
      <w:r>
        <w:t xml:space="preserve">C)  Autonomía, beneficencia y justicia</w:t>
      </w:r>
    </w:p>
    <w:p>
      <w:pPr>
        <w:pStyle w:val="opt"/>
      </w:pPr>
      <w:r>
        <w:t xml:space="preserve">D)  Lealtad y obediencia</w:t>
      </w:r>
    </w:p>
    <w:p>
      <w:pPr>
        <w:pStyle w:val="src"/>
      </w:pPr>
      <w:r>
        <w:t xml:space="preserve">Tu respuesta: ______        Confianza:  segura / dudosa / adivinada</w:t>
      </w:r>
    </w:p>
    <w:p>
      <w:r>
        <w:br w:type="page"/>
      </w:r>
    </w:p>
    <w:p>
      <w:pPr>
        <w:pStyle w:val="Heading1"/>
      </w:pPr>
      <w:r>
        <w:t xml:space="preserve">Hoja de respuestas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90"/>
          <w:left w:type="dxa" w:w="120"/>
          <w:bottom w:type="dxa" w:w="90"/>
          <w:right w:type="dxa" w:w="120"/>
        </w:tblCellMar>
      </w:tblPr>
      <w:tblGrid>
        <w:gridCol w:w="1500"/>
        <w:gridCol w:w="3180"/>
        <w:gridCol w:w="1500"/>
        <w:gridCol w:w="3180"/>
      </w:tblGrid>
      <w:tr>
        <w:tc>
          <w:tcPr>
            <w:tcW w:type="dxa" w:w="1500"/>
            <w:tcBorders>
              <w:top w:val="single" w:color="BFBFBF" w:sz="1"/>
              <w:left w:val="single" w:color="BFBFBF" w:sz="1"/>
              <w:bottom w:val="single" w:color="BFBFBF" w:sz="1"/>
              <w:right w:val="single" w:color="BFBFBF" w:sz="1"/>
            </w:tcBorders>
          </w:tcPr>
          <w:p>
            <w:r>
              <w:rPr>
                <w:sz w:val="20"/>
                <w:szCs w:val="20"/>
              </w:rPr>
              <w:t xml:space="preserve">1.</w:t>
            </w:r>
          </w:p>
        </w:tc>
        <w:tc>
          <w:tcPr>
            <w:tcW w:type="dxa" w:w="3180"/>
            <w:tcBorders>
              <w:top w:val="single" w:color="BFBFBF" w:sz="1"/>
              <w:left w:val="single" w:color="BFBFBF" w:sz="1"/>
              <w:bottom w:val="single" w:color="BFBFBF" w:sz="1"/>
              <w:right w:val="single" w:color="BFBFBF" w:sz="1"/>
            </w:tcBorders>
          </w:tcPr>
          <w:p>
            <w:r>
              <w:rPr>
                <w:sz w:val="20"/>
                <w:szCs w:val="20"/>
              </w:rPr>
              <w:t xml:space="preserve"/>
            </w:r>
          </w:p>
        </w:tc>
        <w:tc>
          <w:tcPr>
            <w:tcW w:type="dxa" w:w="1500"/>
            <w:tcBorders>
              <w:top w:val="single" w:color="BFBFBF" w:sz="1"/>
              <w:left w:val="single" w:color="BFBFBF" w:sz="1"/>
              <w:bottom w:val="single" w:color="BFBFBF" w:sz="1"/>
              <w:right w:val="single" w:color="BFBFBF" w:sz="1"/>
            </w:tcBorders>
          </w:tcPr>
          <w:p>
            <w:r>
              <w:rPr>
                <w:sz w:val="20"/>
                <w:szCs w:val="20"/>
              </w:rPr>
              <w:t xml:space="preserve">11.</w:t>
            </w:r>
          </w:p>
        </w:tc>
        <w:tc>
          <w:tcPr>
            <w:tcW w:type="dxa" w:w="3180"/>
            <w:tcBorders>
              <w:top w:val="single" w:color="BFBFBF" w:sz="1"/>
              <w:left w:val="single" w:color="BFBFBF" w:sz="1"/>
              <w:bottom w:val="single" w:color="BFBFBF" w:sz="1"/>
              <w:right w:val="single" w:color="BFBFBF" w:sz="1"/>
            </w:tcBorders>
          </w:tcPr>
          <w:p>
            <w:r>
              <w:rPr>
                <w:sz w:val="20"/>
                <w:szCs w:val="20"/>
              </w:rPr>
              <w:t xml:space="preserve"/>
            </w:r>
          </w:p>
        </w:tc>
      </w:tr>
      <w:tr>
        <w:tc>
          <w:tcPr>
            <w:tcW w:type="dxa" w:w="1500"/>
            <w:tcBorders>
              <w:top w:val="single" w:color="BFBFBF" w:sz="1"/>
              <w:left w:val="single" w:color="BFBFBF" w:sz="1"/>
              <w:bottom w:val="single" w:color="BFBFBF" w:sz="1"/>
              <w:right w:val="single" w:color="BFBFBF" w:sz="1"/>
            </w:tcBorders>
          </w:tcPr>
          <w:p>
            <w:r>
              <w:rPr>
                <w:sz w:val="20"/>
                <w:szCs w:val="20"/>
              </w:rPr>
              <w:t xml:space="preserve">2.</w:t>
            </w:r>
          </w:p>
        </w:tc>
        <w:tc>
          <w:tcPr>
            <w:tcW w:type="dxa" w:w="3180"/>
            <w:tcBorders>
              <w:top w:val="single" w:color="BFBFBF" w:sz="1"/>
              <w:left w:val="single" w:color="BFBFBF" w:sz="1"/>
              <w:bottom w:val="single" w:color="BFBFBF" w:sz="1"/>
              <w:right w:val="single" w:color="BFBFBF" w:sz="1"/>
            </w:tcBorders>
          </w:tcPr>
          <w:p>
            <w:r>
              <w:rPr>
                <w:sz w:val="20"/>
                <w:szCs w:val="20"/>
              </w:rPr>
              <w:t xml:space="preserve"/>
            </w:r>
          </w:p>
        </w:tc>
        <w:tc>
          <w:tcPr>
            <w:tcW w:type="dxa" w:w="1500"/>
            <w:tcBorders>
              <w:top w:val="single" w:color="BFBFBF" w:sz="1"/>
              <w:left w:val="single" w:color="BFBFBF" w:sz="1"/>
              <w:bottom w:val="single" w:color="BFBFBF" w:sz="1"/>
              <w:right w:val="single" w:color="BFBFBF" w:sz="1"/>
            </w:tcBorders>
          </w:tcPr>
          <w:p>
            <w:r>
              <w:rPr>
                <w:sz w:val="20"/>
                <w:szCs w:val="20"/>
              </w:rPr>
              <w:t xml:space="preserve">12.</w:t>
            </w:r>
          </w:p>
        </w:tc>
        <w:tc>
          <w:tcPr>
            <w:tcW w:type="dxa" w:w="3180"/>
            <w:tcBorders>
              <w:top w:val="single" w:color="BFBFBF" w:sz="1"/>
              <w:left w:val="single" w:color="BFBFBF" w:sz="1"/>
              <w:bottom w:val="single" w:color="BFBFBF" w:sz="1"/>
              <w:right w:val="single" w:color="BFBFBF" w:sz="1"/>
            </w:tcBorders>
          </w:tcPr>
          <w:p>
            <w:r>
              <w:rPr>
                <w:sz w:val="20"/>
                <w:szCs w:val="20"/>
              </w:rPr>
              <w:t xml:space="preserve"/>
            </w:r>
          </w:p>
        </w:tc>
      </w:tr>
      <w:tr>
        <w:tc>
          <w:tcPr>
            <w:tcW w:type="dxa" w:w="1500"/>
            <w:tcBorders>
              <w:top w:val="single" w:color="BFBFBF" w:sz="1"/>
              <w:left w:val="single" w:color="BFBFBF" w:sz="1"/>
              <w:bottom w:val="single" w:color="BFBFBF" w:sz="1"/>
              <w:right w:val="single" w:color="BFBFBF" w:sz="1"/>
            </w:tcBorders>
          </w:tcPr>
          <w:p>
            <w:r>
              <w:rPr>
                <w:sz w:val="20"/>
                <w:szCs w:val="20"/>
              </w:rPr>
              <w:t xml:space="preserve">3.</w:t>
            </w:r>
          </w:p>
        </w:tc>
        <w:tc>
          <w:tcPr>
            <w:tcW w:type="dxa" w:w="3180"/>
            <w:tcBorders>
              <w:top w:val="single" w:color="BFBFBF" w:sz="1"/>
              <w:left w:val="single" w:color="BFBFBF" w:sz="1"/>
              <w:bottom w:val="single" w:color="BFBFBF" w:sz="1"/>
              <w:right w:val="single" w:color="BFBFBF" w:sz="1"/>
            </w:tcBorders>
          </w:tcPr>
          <w:p>
            <w:r>
              <w:rPr>
                <w:sz w:val="20"/>
                <w:szCs w:val="20"/>
              </w:rPr>
              <w:t xml:space="preserve"/>
            </w:r>
          </w:p>
        </w:tc>
        <w:tc>
          <w:tcPr>
            <w:tcW w:type="dxa" w:w="1500"/>
            <w:tcBorders>
              <w:top w:val="single" w:color="BFBFBF" w:sz="1"/>
              <w:left w:val="single" w:color="BFBFBF" w:sz="1"/>
              <w:bottom w:val="single" w:color="BFBFBF" w:sz="1"/>
              <w:right w:val="single" w:color="BFBFBF" w:sz="1"/>
            </w:tcBorders>
          </w:tcPr>
          <w:p>
            <w:r>
              <w:rPr>
                <w:sz w:val="20"/>
                <w:szCs w:val="20"/>
              </w:rPr>
              <w:t xml:space="preserve">13.</w:t>
            </w:r>
          </w:p>
        </w:tc>
        <w:tc>
          <w:tcPr>
            <w:tcW w:type="dxa" w:w="3180"/>
            <w:tcBorders>
              <w:top w:val="single" w:color="BFBFBF" w:sz="1"/>
              <w:left w:val="single" w:color="BFBFBF" w:sz="1"/>
              <w:bottom w:val="single" w:color="BFBFBF" w:sz="1"/>
              <w:right w:val="single" w:color="BFBFBF" w:sz="1"/>
            </w:tcBorders>
          </w:tcPr>
          <w:p>
            <w:r>
              <w:rPr>
                <w:sz w:val="20"/>
                <w:szCs w:val="20"/>
              </w:rPr>
              <w:t xml:space="preserve"/>
            </w:r>
          </w:p>
        </w:tc>
      </w:tr>
      <w:tr>
        <w:tc>
          <w:tcPr>
            <w:tcW w:type="dxa" w:w="1500"/>
            <w:tcBorders>
              <w:top w:val="single" w:color="BFBFBF" w:sz="1"/>
              <w:left w:val="single" w:color="BFBFBF" w:sz="1"/>
              <w:bottom w:val="single" w:color="BFBFBF" w:sz="1"/>
              <w:right w:val="single" w:color="BFBFBF" w:sz="1"/>
            </w:tcBorders>
          </w:tcPr>
          <w:p>
            <w:r>
              <w:rPr>
                <w:sz w:val="20"/>
                <w:szCs w:val="20"/>
              </w:rPr>
              <w:t xml:space="preserve">4.</w:t>
            </w:r>
          </w:p>
        </w:tc>
        <w:tc>
          <w:tcPr>
            <w:tcW w:type="dxa" w:w="3180"/>
            <w:tcBorders>
              <w:top w:val="single" w:color="BFBFBF" w:sz="1"/>
              <w:left w:val="single" w:color="BFBFBF" w:sz="1"/>
              <w:bottom w:val="single" w:color="BFBFBF" w:sz="1"/>
              <w:right w:val="single" w:color="BFBFBF" w:sz="1"/>
            </w:tcBorders>
          </w:tcPr>
          <w:p>
            <w:r>
              <w:rPr>
                <w:sz w:val="20"/>
                <w:szCs w:val="20"/>
              </w:rPr>
              <w:t xml:space="preserve"/>
            </w:r>
          </w:p>
        </w:tc>
        <w:tc>
          <w:tcPr>
            <w:tcW w:type="dxa" w:w="1500"/>
            <w:tcBorders>
              <w:top w:val="single" w:color="BFBFBF" w:sz="1"/>
              <w:left w:val="single" w:color="BFBFBF" w:sz="1"/>
              <w:bottom w:val="single" w:color="BFBFBF" w:sz="1"/>
              <w:right w:val="single" w:color="BFBFBF" w:sz="1"/>
            </w:tcBorders>
          </w:tcPr>
          <w:p>
            <w:r>
              <w:rPr>
                <w:sz w:val="20"/>
                <w:szCs w:val="20"/>
              </w:rPr>
              <w:t xml:space="preserve">14.</w:t>
            </w:r>
          </w:p>
        </w:tc>
        <w:tc>
          <w:tcPr>
            <w:tcW w:type="dxa" w:w="3180"/>
            <w:tcBorders>
              <w:top w:val="single" w:color="BFBFBF" w:sz="1"/>
              <w:left w:val="single" w:color="BFBFBF" w:sz="1"/>
              <w:bottom w:val="single" w:color="BFBFBF" w:sz="1"/>
              <w:right w:val="single" w:color="BFBFBF" w:sz="1"/>
            </w:tcBorders>
          </w:tcPr>
          <w:p>
            <w:r>
              <w:rPr>
                <w:sz w:val="20"/>
                <w:szCs w:val="20"/>
              </w:rPr>
              <w:t xml:space="preserve"/>
            </w:r>
          </w:p>
        </w:tc>
      </w:tr>
      <w:tr>
        <w:tc>
          <w:tcPr>
            <w:tcW w:type="dxa" w:w="1500"/>
            <w:tcBorders>
              <w:top w:val="single" w:color="BFBFBF" w:sz="1"/>
              <w:left w:val="single" w:color="BFBFBF" w:sz="1"/>
              <w:bottom w:val="single" w:color="BFBFBF" w:sz="1"/>
              <w:right w:val="single" w:color="BFBFBF" w:sz="1"/>
            </w:tcBorders>
          </w:tcPr>
          <w:p>
            <w:r>
              <w:rPr>
                <w:sz w:val="20"/>
                <w:szCs w:val="20"/>
              </w:rPr>
              <w:t xml:space="preserve">5.</w:t>
            </w:r>
          </w:p>
        </w:tc>
        <w:tc>
          <w:tcPr>
            <w:tcW w:type="dxa" w:w="3180"/>
            <w:tcBorders>
              <w:top w:val="single" w:color="BFBFBF" w:sz="1"/>
              <w:left w:val="single" w:color="BFBFBF" w:sz="1"/>
              <w:bottom w:val="single" w:color="BFBFBF" w:sz="1"/>
              <w:right w:val="single" w:color="BFBFBF" w:sz="1"/>
            </w:tcBorders>
          </w:tcPr>
          <w:p>
            <w:r>
              <w:rPr>
                <w:sz w:val="20"/>
                <w:szCs w:val="20"/>
              </w:rPr>
              <w:t xml:space="preserve"/>
            </w:r>
          </w:p>
        </w:tc>
        <w:tc>
          <w:tcPr>
            <w:tcW w:type="dxa" w:w="1500"/>
            <w:tcBorders>
              <w:top w:val="single" w:color="BFBFBF" w:sz="1"/>
              <w:left w:val="single" w:color="BFBFBF" w:sz="1"/>
              <w:bottom w:val="single" w:color="BFBFBF" w:sz="1"/>
              <w:right w:val="single" w:color="BFBFBF" w:sz="1"/>
            </w:tcBorders>
          </w:tcPr>
          <w:p>
            <w:r>
              <w:rPr>
                <w:sz w:val="20"/>
                <w:szCs w:val="20"/>
              </w:rPr>
              <w:t xml:space="preserve">15.</w:t>
            </w:r>
          </w:p>
        </w:tc>
        <w:tc>
          <w:tcPr>
            <w:tcW w:type="dxa" w:w="3180"/>
            <w:tcBorders>
              <w:top w:val="single" w:color="BFBFBF" w:sz="1"/>
              <w:left w:val="single" w:color="BFBFBF" w:sz="1"/>
              <w:bottom w:val="single" w:color="BFBFBF" w:sz="1"/>
              <w:right w:val="single" w:color="BFBFBF" w:sz="1"/>
            </w:tcBorders>
          </w:tcPr>
          <w:p>
            <w:r>
              <w:rPr>
                <w:sz w:val="20"/>
                <w:szCs w:val="20"/>
              </w:rPr>
              <w:t xml:space="preserve"/>
            </w:r>
          </w:p>
        </w:tc>
      </w:tr>
      <w:tr>
        <w:tc>
          <w:tcPr>
            <w:tcW w:type="dxa" w:w="1500"/>
            <w:tcBorders>
              <w:top w:val="single" w:color="BFBFBF" w:sz="1"/>
              <w:left w:val="single" w:color="BFBFBF" w:sz="1"/>
              <w:bottom w:val="single" w:color="BFBFBF" w:sz="1"/>
              <w:right w:val="single" w:color="BFBFBF" w:sz="1"/>
            </w:tcBorders>
          </w:tcPr>
          <w:p>
            <w:r>
              <w:rPr>
                <w:sz w:val="20"/>
                <w:szCs w:val="20"/>
              </w:rPr>
              <w:t xml:space="preserve">6.</w:t>
            </w:r>
          </w:p>
        </w:tc>
        <w:tc>
          <w:tcPr>
            <w:tcW w:type="dxa" w:w="3180"/>
            <w:tcBorders>
              <w:top w:val="single" w:color="BFBFBF" w:sz="1"/>
              <w:left w:val="single" w:color="BFBFBF" w:sz="1"/>
              <w:bottom w:val="single" w:color="BFBFBF" w:sz="1"/>
              <w:right w:val="single" w:color="BFBFBF" w:sz="1"/>
            </w:tcBorders>
          </w:tcPr>
          <w:p>
            <w:r>
              <w:rPr>
                <w:sz w:val="20"/>
                <w:szCs w:val="20"/>
              </w:rPr>
              <w:t xml:space="preserve"/>
            </w:r>
          </w:p>
        </w:tc>
        <w:tc>
          <w:tcPr>
            <w:tcW w:type="dxa" w:w="1500"/>
            <w:tcBorders>
              <w:top w:val="single" w:color="BFBFBF" w:sz="1"/>
              <w:left w:val="single" w:color="BFBFBF" w:sz="1"/>
              <w:bottom w:val="single" w:color="BFBFBF" w:sz="1"/>
              <w:right w:val="single" w:color="BFBFBF" w:sz="1"/>
            </w:tcBorders>
          </w:tcPr>
          <w:p>
            <w:r>
              <w:rPr>
                <w:sz w:val="20"/>
                <w:szCs w:val="20"/>
              </w:rPr>
              <w:t xml:space="preserve">16.</w:t>
            </w:r>
          </w:p>
        </w:tc>
        <w:tc>
          <w:tcPr>
            <w:tcW w:type="dxa" w:w="3180"/>
            <w:tcBorders>
              <w:top w:val="single" w:color="BFBFBF" w:sz="1"/>
              <w:left w:val="single" w:color="BFBFBF" w:sz="1"/>
              <w:bottom w:val="single" w:color="BFBFBF" w:sz="1"/>
              <w:right w:val="single" w:color="BFBFBF" w:sz="1"/>
            </w:tcBorders>
          </w:tcPr>
          <w:p>
            <w:r>
              <w:rPr>
                <w:sz w:val="20"/>
                <w:szCs w:val="20"/>
              </w:rPr>
              <w:t xml:space="preserve"/>
            </w:r>
          </w:p>
        </w:tc>
      </w:tr>
      <w:tr>
        <w:tc>
          <w:tcPr>
            <w:tcW w:type="dxa" w:w="1500"/>
            <w:tcBorders>
              <w:top w:val="single" w:color="BFBFBF" w:sz="1"/>
              <w:left w:val="single" w:color="BFBFBF" w:sz="1"/>
              <w:bottom w:val="single" w:color="BFBFBF" w:sz="1"/>
              <w:right w:val="single" w:color="BFBFBF" w:sz="1"/>
            </w:tcBorders>
          </w:tcPr>
          <w:p>
            <w:r>
              <w:rPr>
                <w:sz w:val="20"/>
                <w:szCs w:val="20"/>
              </w:rPr>
              <w:t xml:space="preserve">7.</w:t>
            </w:r>
          </w:p>
        </w:tc>
        <w:tc>
          <w:tcPr>
            <w:tcW w:type="dxa" w:w="3180"/>
            <w:tcBorders>
              <w:top w:val="single" w:color="BFBFBF" w:sz="1"/>
              <w:left w:val="single" w:color="BFBFBF" w:sz="1"/>
              <w:bottom w:val="single" w:color="BFBFBF" w:sz="1"/>
              <w:right w:val="single" w:color="BFBFBF" w:sz="1"/>
            </w:tcBorders>
          </w:tcPr>
          <w:p>
            <w:r>
              <w:rPr>
                <w:sz w:val="20"/>
                <w:szCs w:val="20"/>
              </w:rPr>
              <w:t xml:space="preserve"/>
            </w:r>
          </w:p>
        </w:tc>
        <w:tc>
          <w:tcPr>
            <w:tcW w:type="dxa" w:w="1500"/>
            <w:tcBorders>
              <w:top w:val="single" w:color="BFBFBF" w:sz="1"/>
              <w:left w:val="single" w:color="BFBFBF" w:sz="1"/>
              <w:bottom w:val="single" w:color="BFBFBF" w:sz="1"/>
              <w:right w:val="single" w:color="BFBFBF" w:sz="1"/>
            </w:tcBorders>
          </w:tcPr>
          <w:p>
            <w:r>
              <w:rPr>
                <w:sz w:val="20"/>
                <w:szCs w:val="20"/>
              </w:rPr>
              <w:t xml:space="preserve">17.</w:t>
            </w:r>
          </w:p>
        </w:tc>
        <w:tc>
          <w:tcPr>
            <w:tcW w:type="dxa" w:w="3180"/>
            <w:tcBorders>
              <w:top w:val="single" w:color="BFBFBF" w:sz="1"/>
              <w:left w:val="single" w:color="BFBFBF" w:sz="1"/>
              <w:bottom w:val="single" w:color="BFBFBF" w:sz="1"/>
              <w:right w:val="single" w:color="BFBFBF" w:sz="1"/>
            </w:tcBorders>
          </w:tcPr>
          <w:p>
            <w:r>
              <w:rPr>
                <w:sz w:val="20"/>
                <w:szCs w:val="20"/>
              </w:rPr>
              <w:t xml:space="preserve"/>
            </w:r>
          </w:p>
        </w:tc>
      </w:tr>
      <w:tr>
        <w:tc>
          <w:tcPr>
            <w:tcW w:type="dxa" w:w="1500"/>
            <w:tcBorders>
              <w:top w:val="single" w:color="BFBFBF" w:sz="1"/>
              <w:left w:val="single" w:color="BFBFBF" w:sz="1"/>
              <w:bottom w:val="single" w:color="BFBFBF" w:sz="1"/>
              <w:right w:val="single" w:color="BFBFBF" w:sz="1"/>
            </w:tcBorders>
          </w:tcPr>
          <w:p>
            <w:r>
              <w:rPr>
                <w:sz w:val="20"/>
                <w:szCs w:val="20"/>
              </w:rPr>
              <w:t xml:space="preserve">8.</w:t>
            </w:r>
          </w:p>
        </w:tc>
        <w:tc>
          <w:tcPr>
            <w:tcW w:type="dxa" w:w="3180"/>
            <w:tcBorders>
              <w:top w:val="single" w:color="BFBFBF" w:sz="1"/>
              <w:left w:val="single" w:color="BFBFBF" w:sz="1"/>
              <w:bottom w:val="single" w:color="BFBFBF" w:sz="1"/>
              <w:right w:val="single" w:color="BFBFBF" w:sz="1"/>
            </w:tcBorders>
          </w:tcPr>
          <w:p>
            <w:r>
              <w:rPr>
                <w:sz w:val="20"/>
                <w:szCs w:val="20"/>
              </w:rPr>
              <w:t xml:space="preserve"/>
            </w:r>
          </w:p>
        </w:tc>
        <w:tc>
          <w:tcPr>
            <w:tcW w:type="dxa" w:w="1500"/>
            <w:tcBorders>
              <w:top w:val="single" w:color="BFBFBF" w:sz="1"/>
              <w:left w:val="single" w:color="BFBFBF" w:sz="1"/>
              <w:bottom w:val="single" w:color="BFBFBF" w:sz="1"/>
              <w:right w:val="single" w:color="BFBFBF" w:sz="1"/>
            </w:tcBorders>
          </w:tcPr>
          <w:p>
            <w:r>
              <w:rPr>
                <w:sz w:val="20"/>
                <w:szCs w:val="20"/>
              </w:rPr>
              <w:t xml:space="preserve">18.</w:t>
            </w:r>
          </w:p>
        </w:tc>
        <w:tc>
          <w:tcPr>
            <w:tcW w:type="dxa" w:w="3180"/>
            <w:tcBorders>
              <w:top w:val="single" w:color="BFBFBF" w:sz="1"/>
              <w:left w:val="single" w:color="BFBFBF" w:sz="1"/>
              <w:bottom w:val="single" w:color="BFBFBF" w:sz="1"/>
              <w:right w:val="single" w:color="BFBFBF" w:sz="1"/>
            </w:tcBorders>
          </w:tcPr>
          <w:p>
            <w:r>
              <w:rPr>
                <w:sz w:val="20"/>
                <w:szCs w:val="20"/>
              </w:rPr>
              <w:t xml:space="preserve"/>
            </w:r>
          </w:p>
        </w:tc>
      </w:tr>
      <w:tr>
        <w:tc>
          <w:tcPr>
            <w:tcW w:type="dxa" w:w="1500"/>
            <w:tcBorders>
              <w:top w:val="single" w:color="BFBFBF" w:sz="1"/>
              <w:left w:val="single" w:color="BFBFBF" w:sz="1"/>
              <w:bottom w:val="single" w:color="BFBFBF" w:sz="1"/>
              <w:right w:val="single" w:color="BFBFBF" w:sz="1"/>
            </w:tcBorders>
          </w:tcPr>
          <w:p>
            <w:r>
              <w:rPr>
                <w:sz w:val="20"/>
                <w:szCs w:val="20"/>
              </w:rPr>
              <w:t xml:space="preserve">9.</w:t>
            </w:r>
          </w:p>
        </w:tc>
        <w:tc>
          <w:tcPr>
            <w:tcW w:type="dxa" w:w="3180"/>
            <w:tcBorders>
              <w:top w:val="single" w:color="BFBFBF" w:sz="1"/>
              <w:left w:val="single" w:color="BFBFBF" w:sz="1"/>
              <w:bottom w:val="single" w:color="BFBFBF" w:sz="1"/>
              <w:right w:val="single" w:color="BFBFBF" w:sz="1"/>
            </w:tcBorders>
          </w:tcPr>
          <w:p>
            <w:r>
              <w:rPr>
                <w:sz w:val="20"/>
                <w:szCs w:val="20"/>
              </w:rPr>
              <w:t xml:space="preserve"/>
            </w:r>
          </w:p>
        </w:tc>
        <w:tc>
          <w:tcPr>
            <w:tcW w:type="dxa" w:w="1500"/>
            <w:tcBorders>
              <w:top w:val="single" w:color="BFBFBF" w:sz="1"/>
              <w:left w:val="single" w:color="BFBFBF" w:sz="1"/>
              <w:bottom w:val="single" w:color="BFBFBF" w:sz="1"/>
              <w:right w:val="single" w:color="BFBFBF" w:sz="1"/>
            </w:tcBorders>
          </w:tcPr>
          <w:p>
            <w:r>
              <w:rPr>
                <w:sz w:val="20"/>
                <w:szCs w:val="20"/>
              </w:rPr>
              <w:t xml:space="preserve">19.</w:t>
            </w:r>
          </w:p>
        </w:tc>
        <w:tc>
          <w:tcPr>
            <w:tcW w:type="dxa" w:w="3180"/>
            <w:tcBorders>
              <w:top w:val="single" w:color="BFBFBF" w:sz="1"/>
              <w:left w:val="single" w:color="BFBFBF" w:sz="1"/>
              <w:bottom w:val="single" w:color="BFBFBF" w:sz="1"/>
              <w:right w:val="single" w:color="BFBFBF" w:sz="1"/>
            </w:tcBorders>
          </w:tcPr>
          <w:p>
            <w:r>
              <w:rPr>
                <w:sz w:val="20"/>
                <w:szCs w:val="20"/>
              </w:rPr>
              <w:t xml:space="preserve"/>
            </w:r>
          </w:p>
        </w:tc>
      </w:tr>
      <w:tr>
        <w:tc>
          <w:tcPr>
            <w:tcW w:type="dxa" w:w="1500"/>
            <w:tcBorders>
              <w:top w:val="single" w:color="BFBFBF" w:sz="1"/>
              <w:left w:val="single" w:color="BFBFBF" w:sz="1"/>
              <w:bottom w:val="single" w:color="BFBFBF" w:sz="1"/>
              <w:right w:val="single" w:color="BFBFBF" w:sz="1"/>
            </w:tcBorders>
          </w:tcPr>
          <w:p>
            <w:r>
              <w:rPr>
                <w:sz w:val="20"/>
                <w:szCs w:val="20"/>
              </w:rPr>
              <w:t xml:space="preserve">10.</w:t>
            </w:r>
          </w:p>
        </w:tc>
        <w:tc>
          <w:tcPr>
            <w:tcW w:type="dxa" w:w="3180"/>
            <w:tcBorders>
              <w:top w:val="single" w:color="BFBFBF" w:sz="1"/>
              <w:left w:val="single" w:color="BFBFBF" w:sz="1"/>
              <w:bottom w:val="single" w:color="BFBFBF" w:sz="1"/>
              <w:right w:val="single" w:color="BFBFBF" w:sz="1"/>
            </w:tcBorders>
          </w:tcPr>
          <w:p>
            <w:r>
              <w:rPr>
                <w:sz w:val="20"/>
                <w:szCs w:val="20"/>
              </w:rPr>
              <w:t xml:space="preserve"/>
            </w:r>
          </w:p>
        </w:tc>
        <w:tc>
          <w:tcPr>
            <w:tcW w:type="dxa" w:w="1500"/>
            <w:tcBorders>
              <w:top w:val="single" w:color="BFBFBF" w:sz="1"/>
              <w:left w:val="single" w:color="BFBFBF" w:sz="1"/>
              <w:bottom w:val="single" w:color="BFBFBF" w:sz="1"/>
              <w:right w:val="single" w:color="BFBFBF" w:sz="1"/>
            </w:tcBorders>
          </w:tcPr>
          <w:p>
            <w:r>
              <w:rPr>
                <w:sz w:val="20"/>
                <w:szCs w:val="20"/>
              </w:rPr>
              <w:t xml:space="preserve">20.</w:t>
            </w:r>
          </w:p>
        </w:tc>
        <w:tc>
          <w:tcPr>
            <w:tcW w:type="dxa" w:w="3180"/>
            <w:tcBorders>
              <w:top w:val="single" w:color="BFBFBF" w:sz="1"/>
              <w:left w:val="single" w:color="BFBFBF" w:sz="1"/>
              <w:bottom w:val="single" w:color="BFBFBF" w:sz="1"/>
              <w:right w:val="single" w:color="BFBFBF" w:sz="1"/>
            </w:tcBorders>
          </w:tcPr>
          <w:p>
            <w:r>
              <w:rPr>
                <w:sz w:val="20"/>
                <w:szCs w:val="20"/>
              </w:rPr>
              <w:t xml:space="preserve"/>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ENCAPS 2026-II · banco de rentabilidad · 05-ago-2026 · pág.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before="0"/>
      <w:jc w:val="center"/>
    </w:pPr>
    <w:rPr>
      <w:rFonts w:ascii="Arial" w:cs="Arial" w:eastAsia="Arial" w:hAnsi="Arial"/>
      <w:b/>
      <w:bCs/>
      <w:color w:val="000000"/>
      <w:sz w:val="34"/>
      <w:szCs w:val="34"/>
    </w:rPr>
  </w:style>
  <w:style w:type="paragraph" w:styleId="Heading1">
    <w:name w:val="Heading 1"/>
    <w:basedOn w:val="Normal"/>
    <w:next w:val="Normal"/>
    <w:pPr>
      <w:spacing w:after="120" w:before="240"/>
      <w:outlineLvl w:val="0"/>
    </w:pPr>
    <w:rPr>
      <w:rFonts w:ascii="Arial" w:cs="Arial" w:eastAsia="Arial" w:hAnsi="Arial"/>
      <w:b/>
      <w:bCs/>
      <w:color w:val="000000"/>
      <w:sz w:val="24"/>
      <w:szCs w:val="24"/>
    </w:rPr>
  </w:style>
  <w:style w:type="paragraph" w:styleId="sub">
    <w:name w:val="Sub"/>
    <w:basedOn w:val="Normal"/>
    <w:pPr>
      <w:spacing w:after="40"/>
      <w:jc w:val="center"/>
    </w:pPr>
    <w:rPr>
      <w:rFonts w:ascii="Arial" w:cs="Arial" w:eastAsia="Arial" w:hAnsi="Arial"/>
      <w:color w:val="595959"/>
      <w:sz w:val="18"/>
      <w:szCs w:val="18"/>
    </w:rPr>
  </w:style>
  <w:style w:type="paragraph" w:styleId="tag">
    <w:name w:val="Tag"/>
    <w:basedOn w:val="Normal"/>
    <w:pPr>
      <w:spacing w:after="40" w:before="200"/>
    </w:pPr>
    <w:rPr>
      <w:rFonts w:ascii="Arial" w:cs="Arial" w:eastAsia="Arial" w:hAnsi="Arial"/>
      <w:b/>
      <w:bCs/>
      <w:color w:val="595959"/>
      <w:sz w:val="16"/>
      <w:szCs w:val="16"/>
    </w:rPr>
  </w:style>
  <w:style w:type="paragraph" w:styleId="enun">
    <w:name w:val="Enun"/>
    <w:basedOn w:val="Normal"/>
    <w:pPr>
      <w:spacing w:after="80"/>
      <w:jc w:val="both"/>
    </w:pPr>
    <w:rPr>
      <w:rFonts w:ascii="Arial" w:cs="Arial" w:eastAsia="Arial" w:hAnsi="Arial"/>
      <w:sz w:val="21"/>
      <w:szCs w:val="21"/>
    </w:rPr>
  </w:style>
  <w:style w:type="paragraph" w:styleId="opt">
    <w:name w:val="Opt"/>
    <w:basedOn w:val="Normal"/>
    <w:pPr>
      <w:spacing w:after="20"/>
      <w:ind w:left="340"/>
    </w:pPr>
    <w:rPr>
      <w:rFonts w:ascii="Arial" w:cs="Arial" w:eastAsia="Arial" w:hAnsi="Arial"/>
      <w:sz w:val="21"/>
      <w:szCs w:val="21"/>
    </w:rPr>
  </w:style>
  <w:style w:type="paragraph" w:styleId="sm">
    <w:name w:val="Sm"/>
    <w:basedOn w:val="Normal"/>
    <w:pPr>
      <w:spacing w:after="60"/>
      <w:jc w:val="both"/>
    </w:pPr>
    <w:rPr>
      <w:rFonts w:ascii="Arial" w:cs="Arial" w:eastAsia="Arial" w:hAnsi="Arial"/>
      <w:sz w:val="18"/>
      <w:szCs w:val="18"/>
    </w:rPr>
  </w:style>
  <w:style w:type="paragraph" w:styleId="src">
    <w:name w:val="Src"/>
    <w:basedOn w:val="Normal"/>
    <w:pPr>
      <w:spacing w:after="120" w:before="60"/>
    </w:pPr>
    <w:rPr>
      <w:rFonts w:ascii="Arial" w:cs="Arial" w:eastAsia="Arial" w:hAnsi="Arial"/>
      <w:i/>
      <w:iCs/>
      <w:color w:val="595959"/>
      <w:sz w:val="16"/>
      <w:szCs w:val="16"/>
    </w:rPr>
  </w:style>
  <w:style w:type="paragraph" w:styleId="h4">
    <w:name w:val="H4"/>
    <w:basedOn w:val="Normal"/>
    <w:pPr>
      <w:spacing w:after="40" w:before="120"/>
    </w:pPr>
    <w:rPr>
      <w:rFonts w:ascii="Arial" w:cs="Arial" w:eastAsia="Arial" w:hAnsi="Arial"/>
      <w:b/>
      <w:bCs/>
      <w:color w:val="00000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2026-08-06T03:47:14.992Z</dcterms:created>
  <dcterms:modified xsi:type="dcterms:W3CDTF">2026-08-06T03:47:14.993Z</dcterms:modified>
</cp:coreProperties>
</file>

<file path=docProps/custom.xml><?xml version="1.0" encoding="utf-8"?>
<Properties xmlns="http://schemas.openxmlformats.org/officeDocument/2006/custom-properties" xmlns:vt="http://schemas.openxmlformats.org/officeDocument/2006/docPropsVTypes"/>
</file>