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color w:val="28405C"/>
          <w:sz w:val="40"/>
        </w:rPr>
        <w:t>ADD HEALTH EVIDENCE CATALOGUE &amp; DISSERTATION NOVELTY AUDIT</w:t>
      </w:r>
    </w:p>
    <w:p>
      <w:r>
        <w:rPr>
          <w:color w:val="48526A"/>
          <w:sz w:val="22"/>
        </w:rPr>
        <w:t>A source-verified catalogue of Add Health research on neighborhood violence, community violence, victimization, and adolescent mental health — classified by design, data, and findings, and mapped against the dissertation’s proposed contributions.</w:t>
      </w:r>
    </w:p>
    <w:p>
      <w:pPr>
        <w:pBdr>
          <w:bottom w:val="single" w:sz="6" w:space="1" w:color="CBD2DF"/>
        </w:pBdr>
      </w:pPr>
      <w:r>
        <w:rPr>
          <w:color w:val="7C879B"/>
          <w:sz w:val="17"/>
        </w:rPr>
        <w:t>Compiled 2026-07-12  ·  108 verified Add Health studies  ·  63 with verified findings (Tier A)  ·  45 at citation level (Tier B)</w:t>
      </w:r>
    </w:p>
    <w:p>
      <w:pPr>
        <w:pStyle w:val="Heading1"/>
      </w:pPr>
      <w:r>
        <w:t>Executive summary</w:t>
      </w:r>
    </w:p>
    <w:p>
      <w:r>
        <w:rPr>
          <w:b w:val="0"/>
          <w:i w:val="0"/>
          <w:color w:val="1B2230"/>
          <w:sz w:val="21"/>
        </w:rPr>
        <w:t>This catalogue was built by independently verifying the data source of every record in the original review corpus, as your instructions required (“verify every included study actually uses Add Health”). Of 119 original records, 108 are verified Add Health studies, meeting the target of 100 individual Add Health studies relevant to the dissertation. Five records were removed because they do not use Add Health at all; seven could not be source-verified and are quarantined; one is a mixed-sample study flagged for caution.</w:t>
      </w:r>
    </w:p>
    <w:p>
      <w:r>
        <w:rPr>
          <w:b w:val="0"/>
          <w:i w:val="0"/>
          <w:color w:val="1B2230"/>
          <w:sz w:val="21"/>
        </w:rPr>
        <w:t>The core finding for novelty: across all verified Add Health studies, contextual exposure is measured as perceived hazards, socioeconomic disadvantage, collective efficacy, or historical redlining — never as a repeated administrative violent-crime rate linked to interview waves. The dissertation’s central contribution (repeated county violent-crime exposure linked to within-person depressive change) has no verified Add Health precedent, whereas its fixed-effects, sibling, timing, and prediction elements are substantially anticipated and should be framed as extensions.</w:t>
      </w:r>
    </w:p>
    <w:p>
      <w:pPr>
        <w:pStyle w:val="Heading1"/>
      </w:pPr>
      <w:r>
        <w:t>Data integrity — what was removed and why</w:t>
      </w:r>
    </w:p>
    <w:p>
      <w:r>
        <w:rPr>
          <w:b w:val="0"/>
          <w:i w:val="0"/>
          <w:color w:val="1B2230"/>
          <w:sz w:val="21"/>
        </w:rPr>
        <w:t>The original corpus carried a uniform “Add Health confirmed” label on all rows that did not reflect per-record checking. Verification found a recurring contamination pattern: topically-perfect “neighborhood → depression” papers built on other datasets.</w:t>
      </w:r>
    </w:p>
    <w:p>
      <w:r>
        <w:rPr>
          <w:b/>
          <w:i w:val="0"/>
          <w:color w:val="B23A48"/>
          <w:sz w:val="21"/>
        </w:rPr>
        <w:t>Removed — confirmed NOT Add Health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7"/>
              </w:rPr>
              <w:t>ID</w:t>
            </w:r>
          </w:p>
        </w:tc>
        <w:tc>
          <w:tcPr>
            <w:tcW w:type="dxa" w:w="2880"/>
          </w:tcPr>
          <w:p>
            <w:r/>
            <w:r>
              <w:rPr>
                <w:b/>
                <w:sz w:val="17"/>
              </w:rPr>
              <w:t>Study</w:t>
            </w:r>
          </w:p>
        </w:tc>
        <w:tc>
          <w:tcPr>
            <w:tcW w:type="dxa" w:w="2880"/>
          </w:tcPr>
          <w:p>
            <w:r/>
            <w:r>
              <w:rPr>
                <w:b/>
                <w:sz w:val="17"/>
              </w:rPr>
              <w:t>Actual data source</w:t>
            </w:r>
          </w:p>
        </w:tc>
      </w:tr>
      <w:tr>
        <w:tc>
          <w:tcPr>
            <w:tcW w:type="dxa" w:w="2880"/>
          </w:tcPr>
          <w:p>
            <w:r/>
            <w:r>
              <w:rPr>
                <w:sz w:val="17"/>
              </w:rPr>
              <w:t>AH-001</w:t>
            </w:r>
          </w:p>
        </w:tc>
        <w:tc>
          <w:tcPr>
            <w:tcW w:type="dxa" w:w="2880"/>
          </w:tcPr>
          <w:p>
            <w:r/>
            <w:r>
              <w:rPr>
                <w:sz w:val="17"/>
              </w:rPr>
              <w:t>Carol S. Aneshensel, Clea A. Sucoff (1996). The Neighborhood Context of Adolescent Mental Health. Journal of Health and Social Behavior. https://doi.org/10.2307/2137258</w:t>
            </w:r>
          </w:p>
        </w:tc>
        <w:tc>
          <w:tcPr>
            <w:tcW w:type="dxa" w:w="2880"/>
          </w:tcPr>
          <w:p>
            <w:r/>
            <w:r>
              <w:rPr>
                <w:sz w:val="17"/>
              </w:rPr>
              <w:t>Aneshensel &amp; Sucoff (1996) used a Los Angeles County community sample (N=877), not Add Health.</w:t>
            </w:r>
          </w:p>
        </w:tc>
      </w:tr>
      <w:tr>
        <w:tc>
          <w:tcPr>
            <w:tcW w:type="dxa" w:w="2880"/>
          </w:tcPr>
          <w:p>
            <w:r/>
            <w:r>
              <w:rPr>
                <w:sz w:val="17"/>
              </w:rPr>
              <w:t>AH-003</w:t>
            </w:r>
          </w:p>
        </w:tc>
        <w:tc>
          <w:tcPr>
            <w:tcW w:type="dxa" w:w="2880"/>
          </w:tcPr>
          <w:p>
            <w:r/>
            <w:r>
              <w:rPr>
                <w:sz w:val="17"/>
              </w:rPr>
              <w:t>Ross Macmillan (2000). ADOLESCENT VICTIMIZATION AND INCOME DEFICITS IN ADULTHOOD: RETHINKING THE COSTS OF CRIMINAL VIOLENCE FROM A LIFE‐COURSE PERSPECTIVE*. Criminology. https://doi.org/10.1111/j.1745-9125.2000.tb00899.x</w:t>
            </w:r>
          </w:p>
        </w:tc>
        <w:tc>
          <w:tcPr>
            <w:tcW w:type="dxa" w:w="2880"/>
          </w:tcPr>
          <w:p>
            <w:r/>
            <w:r>
              <w:rPr>
                <w:sz w:val="17"/>
              </w:rPr>
              <w:t>Macmillan (2000) used the National Youth Survey (N=1,725, first interviewed 1976), not Add Health.</w:t>
            </w:r>
          </w:p>
        </w:tc>
      </w:tr>
      <w:tr>
        <w:tc>
          <w:tcPr>
            <w:tcW w:type="dxa" w:w="2880"/>
          </w:tcPr>
          <w:p>
            <w:r/>
            <w:r>
              <w:rPr>
                <w:sz w:val="17"/>
              </w:rPr>
              <w:t>AH-079</w:t>
            </w:r>
          </w:p>
        </w:tc>
        <w:tc>
          <w:tcPr>
            <w:tcW w:type="dxa" w:w="2880"/>
          </w:tcPr>
          <w:p>
            <w:r/>
            <w:r>
              <w:rPr>
                <w:sz w:val="17"/>
              </w:rPr>
              <w:t>M. Pia Chaparro, Alissa Bilfield, Katherine P. Theall (2019). Exposure to Neighborhood Crime Is Associated with Lower Levels of Physical Activity and Higher Obesity Risk among Adolescent Girls, but Not Boys. Childhood Obesity. https://doi.org/10.1089/chi.2018.0165</w:t>
            </w:r>
          </w:p>
        </w:tc>
        <w:tc>
          <w:tcPr>
            <w:tcW w:type="dxa" w:w="2880"/>
          </w:tcPr>
          <w:p>
            <w:r/>
            <w:r>
              <w:rPr>
                <w:sz w:val="17"/>
              </w:rPr>
              <w:t>Chaparro/Theall (2019) used a community-recruited New Orleans sample of 90 children, not Add Health.</w:t>
            </w:r>
          </w:p>
        </w:tc>
      </w:tr>
      <w:tr>
        <w:tc>
          <w:tcPr>
            <w:tcW w:type="dxa" w:w="2880"/>
          </w:tcPr>
          <w:p>
            <w:r/>
            <w:r>
              <w:rPr>
                <w:sz w:val="17"/>
              </w:rPr>
              <w:t>AH-099</w:t>
            </w:r>
          </w:p>
        </w:tc>
        <w:tc>
          <w:tcPr>
            <w:tcW w:type="dxa" w:w="2880"/>
          </w:tcPr>
          <w:p>
            <w:r/>
            <w:r>
              <w:rPr>
                <w:sz w:val="17"/>
              </w:rPr>
              <w:t>Christian King, Xi Huang, Nahim A. Dewan (2022). Continuity and change in neighborhood disadvantage and adolescent depression and anxiety. Health &amp; Place. https://doi.org/10.1016/j.healthplace.2021.102724</w:t>
            </w:r>
          </w:p>
        </w:tc>
        <w:tc>
          <w:tcPr>
            <w:tcW w:type="dxa" w:w="2880"/>
          </w:tcPr>
          <w:p>
            <w:r/>
            <w:r>
              <w:rPr>
                <w:sz w:val="17"/>
              </w:rPr>
              <w:t>King, Huang &amp; Dewan (2022) used the Fragile Families &amp; Child Wellbeing Study, not Add Health.</w:t>
            </w:r>
          </w:p>
        </w:tc>
      </w:tr>
      <w:tr>
        <w:tc>
          <w:tcPr>
            <w:tcW w:type="dxa" w:w="2880"/>
          </w:tcPr>
          <w:p>
            <w:r/>
            <w:r>
              <w:rPr>
                <w:sz w:val="17"/>
              </w:rPr>
              <w:t>AH-102</w:t>
            </w:r>
          </w:p>
        </w:tc>
        <w:tc>
          <w:tcPr>
            <w:tcW w:type="dxa" w:w="2880"/>
          </w:tcPr>
          <w:p>
            <w:r/>
            <w:r>
              <w:rPr>
                <w:sz w:val="17"/>
              </w:rPr>
              <w:t>Keith L. Hullenaar, Ali Rowhani‐Rahbar, Frederick P. Rivara, Monica S. Vavilala, Eric P. Baumer (2022). Victim–Offender Relationship and the Emotional, Social, and Physical Consequences of Violent Victimization. American Journal of Preventive Medicine. https://doi.org/10.1016/j.amepre.2021.10.018</w:t>
            </w:r>
          </w:p>
        </w:tc>
        <w:tc>
          <w:tcPr>
            <w:tcW w:type="dxa" w:w="2880"/>
          </w:tcPr>
          <w:p>
            <w:r/>
            <w:r>
              <w:rPr>
                <w:sz w:val="17"/>
              </w:rPr>
              <w:t>Hullenaar et al. (2022) analyzed 16,723 victimizations from the National Crime Victimization Survey, not Add Health.</w:t>
            </w:r>
          </w:p>
        </w:tc>
      </w:tr>
    </w:tbl>
    <w:p>
      <w:r>
        <w:rPr>
          <w:b/>
          <w:i w:val="0"/>
          <w:color w:val="B07D2B"/>
          <w:sz w:val="21"/>
        </w:rPr>
        <w:t>Quarantined — Add Health use unverified (excluded from the counted corpus pending full-text confirmation)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7"/>
              </w:rPr>
              <w:t>ID</w:t>
            </w:r>
          </w:p>
        </w:tc>
        <w:tc>
          <w:tcPr>
            <w:tcW w:type="dxa" w:w="2880"/>
          </w:tcPr>
          <w:p>
            <w:r/>
            <w:r>
              <w:rPr>
                <w:b/>
                <w:sz w:val="17"/>
              </w:rPr>
              <w:t>Study</w:t>
            </w:r>
          </w:p>
        </w:tc>
        <w:tc>
          <w:tcPr>
            <w:tcW w:type="dxa" w:w="2880"/>
          </w:tcPr>
          <w:p>
            <w:r/>
            <w:r>
              <w:rPr>
                <w:b/>
                <w:sz w:val="17"/>
              </w:rPr>
              <w:t>Reason</w:t>
            </w:r>
          </w:p>
        </w:tc>
      </w:tr>
      <w:tr>
        <w:tc>
          <w:tcPr>
            <w:tcW w:type="dxa" w:w="2880"/>
          </w:tcPr>
          <w:p>
            <w:r/>
            <w:r>
              <w:rPr>
                <w:sz w:val="17"/>
              </w:rPr>
              <w:t>AH-022</w:t>
            </w:r>
          </w:p>
        </w:tc>
        <w:tc>
          <w:tcPr>
            <w:tcW w:type="dxa" w:w="2880"/>
          </w:tcPr>
          <w:p>
            <w:r/>
            <w:r>
              <w:rPr>
                <w:sz w:val="17"/>
              </w:rPr>
              <w:t>Thao N. Le, William Tov, Julie Taylor (2007). Religiousness and Depressive Symptoms in Five Ethnic Adolescent Groups. The International Journal for the Psychology of Religion. https://doi.org/10.1080/10508610701402259</w:t>
            </w:r>
          </w:p>
        </w:tc>
        <w:tc>
          <w:tcPr>
            <w:tcW w:type="dxa" w:w="2880"/>
          </w:tcPr>
          <w:p>
            <w:r/>
            <w:r>
              <w:rPr>
                <w:sz w:val="17"/>
              </w:rPr>
              <w:t>Data source not confirmed as Add Health; Le et al. five-ethnic-group study — full text needed.</w:t>
            </w:r>
          </w:p>
        </w:tc>
      </w:tr>
      <w:tr>
        <w:tc>
          <w:tcPr>
            <w:tcW w:type="dxa" w:w="2880"/>
          </w:tcPr>
          <w:p>
            <w:r/>
            <w:r>
              <w:rPr>
                <w:sz w:val="17"/>
              </w:rPr>
              <w:t>AH-053</w:t>
            </w:r>
          </w:p>
        </w:tc>
        <w:tc>
          <w:tcPr>
            <w:tcW w:type="dxa" w:w="2880"/>
          </w:tcPr>
          <w:p>
            <w:r/>
            <w:r>
              <w:rPr>
                <w:sz w:val="17"/>
              </w:rPr>
              <w:t>Peter Barr (2015). Neighborhood Context and Mental Health over the Early Life Course. University of Akron</w:t>
            </w:r>
          </w:p>
        </w:tc>
        <w:tc>
          <w:tcPr>
            <w:tcW w:type="dxa" w:w="2880"/>
          </w:tcPr>
          <w:p>
            <w:r/>
            <w:r>
              <w:rPr>
                <w:sz w:val="17"/>
              </w:rPr>
              <w:t>No verifiable published record located; likely a working paper — source unconfirmed.</w:t>
            </w:r>
          </w:p>
        </w:tc>
      </w:tr>
      <w:tr>
        <w:tc>
          <w:tcPr>
            <w:tcW w:type="dxa" w:w="2880"/>
          </w:tcPr>
          <w:p>
            <w:r/>
            <w:r>
              <w:rPr>
                <w:sz w:val="17"/>
              </w:rPr>
              <w:t>AH-080</w:t>
            </w:r>
          </w:p>
        </w:tc>
        <w:tc>
          <w:tcPr>
            <w:tcW w:type="dxa" w:w="2880"/>
          </w:tcPr>
          <w:p>
            <w:r/>
            <w:r>
              <w:rPr>
                <w:sz w:val="17"/>
              </w:rPr>
              <w:t>Benjamin L. Goldstein, Eric C. Shattuck, Joshua C. Hodge, Lauren Gaydosh (2019). Neighbourhood disadvantage and depressive symptoms among adolescents followed into emerging adulthood. Journal of Epidemiology and Community Health. https://doi.org/10.1136/jech-2018-212004</w:t>
            </w:r>
          </w:p>
        </w:tc>
        <w:tc>
          <w:tcPr>
            <w:tcW w:type="dxa" w:w="2880"/>
          </w:tcPr>
          <w:p>
            <w:r/>
            <w:r>
              <w:rPr>
                <w:sz w:val="17"/>
              </w:rPr>
              <w:t>Goldstein/Shattuck (2019) data source could not be confirmed via database abstracts.</w:t>
            </w:r>
          </w:p>
        </w:tc>
      </w:tr>
      <w:tr>
        <w:tc>
          <w:tcPr>
            <w:tcW w:type="dxa" w:w="2880"/>
          </w:tcPr>
          <w:p>
            <w:r/>
            <w:r>
              <w:rPr>
                <w:sz w:val="17"/>
              </w:rPr>
              <w:t>AH-094</w:t>
            </w:r>
          </w:p>
        </w:tc>
        <w:tc>
          <w:tcPr>
            <w:tcW w:type="dxa" w:w="2880"/>
          </w:tcPr>
          <w:p>
            <w:r/>
            <w:r>
              <w:rPr>
                <w:sz w:val="17"/>
              </w:rPr>
              <w:t>Molly Smith, Cassidy Mitchell, Hae Rim Jin (2021). Gender Differences in the Impact of Adolescent Maltreatment Victimization on Subsequent Sexual Intimate Partner Violence Perpetration. Journal of Aggression Maltreatment &amp; Trauma. https://doi.org/10.1080/10926771.2021.1894292</w:t>
            </w:r>
          </w:p>
        </w:tc>
        <w:tc>
          <w:tcPr>
            <w:tcW w:type="dxa" w:w="2880"/>
          </w:tcPr>
          <w:p>
            <w:r/>
            <w:r>
              <w:rPr>
                <w:sz w:val="17"/>
              </w:rPr>
              <w:t>Smith, Mitchell &amp; Jin (2021) data source not confirmed as Add Health (maltreatment→IPV perpetration).</w:t>
            </w:r>
          </w:p>
        </w:tc>
      </w:tr>
      <w:tr>
        <w:tc>
          <w:tcPr>
            <w:tcW w:type="dxa" w:w="2880"/>
          </w:tcPr>
          <w:p>
            <w:r/>
            <w:r>
              <w:rPr>
                <w:sz w:val="17"/>
              </w:rPr>
              <w:t>AH-104</w:t>
            </w:r>
          </w:p>
        </w:tc>
        <w:tc>
          <w:tcPr>
            <w:tcW w:type="dxa" w:w="2880"/>
          </w:tcPr>
          <w:p>
            <w:r/>
            <w:r>
              <w:rPr>
                <w:sz w:val="17"/>
              </w:rPr>
              <w:t>Johannah Elisabeth Palomo (2024). Exploring Reciprocal Relationships Between Religious Service Attendance and Depressive Symptoms From Adolescence to Middle Adulthood. University of North Carolina at Chapel Hill. https://doi.org/10.17615/cjh1-z051</w:t>
            </w:r>
          </w:p>
        </w:tc>
        <w:tc>
          <w:tcPr>
            <w:tcW w:type="dxa" w:w="2880"/>
          </w:tcPr>
          <w:p>
            <w:r/>
            <w:r>
              <w:rPr>
                <w:sz w:val="17"/>
              </w:rPr>
              <w:t>Palomo (2024) dissertation — probably Add Health (UNC) but source unverified.</w:t>
            </w:r>
          </w:p>
        </w:tc>
      </w:tr>
      <w:tr>
        <w:tc>
          <w:tcPr>
            <w:tcW w:type="dxa" w:w="2880"/>
          </w:tcPr>
          <w:p>
            <w:r/>
            <w:r>
              <w:rPr>
                <w:sz w:val="17"/>
              </w:rPr>
              <w:t>AH-118</w:t>
            </w:r>
          </w:p>
        </w:tc>
        <w:tc>
          <w:tcPr>
            <w:tcW w:type="dxa" w:w="2880"/>
          </w:tcPr>
          <w:p>
            <w:r/>
            <w:r>
              <w:rPr>
                <w:sz w:val="17"/>
              </w:rPr>
              <w:t>Adrienne M. Griffiths, Kathleen Mullan Harris, Ping Chen, Robert A. Hummer (2026). Guidelines for Analyzing Add Health Restricted-Use Data: Wave VI Update. Carolina Population Center, University of North Carolina at Chapel Hill. https://doi.org/10.17615/tfnc-0f02</w:t>
            </w:r>
          </w:p>
        </w:tc>
        <w:tc>
          <w:tcPr>
            <w:tcW w:type="dxa" w:w="2880"/>
          </w:tcPr>
          <w:p>
            <w:r/>
            <w:r>
              <w:rPr>
                <w:sz w:val="17"/>
              </w:rPr>
              <w:t>Griffiths, Harris &amp; Chen (2026) — probably Add Health (Harris) but source unverified.</w:t>
            </w:r>
          </w:p>
        </w:tc>
      </w:tr>
      <w:tr>
        <w:tc>
          <w:tcPr>
            <w:tcW w:type="dxa" w:w="2880"/>
          </w:tcPr>
          <w:p>
            <w:r/>
            <w:r>
              <w:rPr>
                <w:sz w:val="17"/>
              </w:rPr>
              <w:t>AH-119</w:t>
            </w:r>
          </w:p>
        </w:tc>
        <w:tc>
          <w:tcPr>
            <w:tcW w:type="dxa" w:w="2880"/>
          </w:tcPr>
          <w:p>
            <w:r/>
            <w:r>
              <w:rPr>
                <w:sz w:val="17"/>
              </w:rPr>
              <w:t>NEEDS AUTHOR VERIFICATION (n.d.). Adolescent Exposure to Community Violence and Later Life C-Reactive Protein: Testing the Moderating Effect of Race Across Levels of Neighborhood Poverty. . https://doi.org/10.17615/wp3y-kp72</w:t>
            </w:r>
          </w:p>
        </w:tc>
        <w:tc>
          <w:tcPr>
            <w:tcW w:type="dxa" w:w="2880"/>
          </w:tcPr>
          <w:p>
            <w:r/>
            <w:r>
              <w:rPr>
                <w:sz w:val="17"/>
              </w:rPr>
              <w:t>CRP dissertation flagged 'NEEDS AUTHOR VERIFICATION' in workbook; source &amp; bibliographic details unverified.</w:t>
            </w:r>
          </w:p>
        </w:tc>
      </w:tr>
    </w:tbl>
    <w:p>
      <w:r>
        <w:rPr>
          <w:b/>
          <w:i w:val="0"/>
          <w:color w:val="6A5AB0"/>
          <w:sz w:val="21"/>
        </w:rPr>
        <w:t>Mixed-sample — flagged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7"/>
              </w:rPr>
              <w:t>ID</w:t>
            </w:r>
          </w:p>
        </w:tc>
        <w:tc>
          <w:tcPr>
            <w:tcW w:type="dxa" w:w="2880"/>
          </w:tcPr>
          <w:p>
            <w:r/>
            <w:r>
              <w:rPr>
                <w:b/>
                <w:sz w:val="17"/>
              </w:rPr>
              <w:t>Study</w:t>
            </w:r>
          </w:p>
        </w:tc>
        <w:tc>
          <w:tcPr>
            <w:tcW w:type="dxa" w:w="2880"/>
          </w:tcPr>
          <w:p>
            <w:r/>
            <w:r>
              <w:rPr>
                <w:b/>
                <w:sz w:val="17"/>
              </w:rPr>
              <w:t>Note</w:t>
            </w:r>
          </w:p>
        </w:tc>
      </w:tr>
      <w:tr>
        <w:tc>
          <w:tcPr>
            <w:tcW w:type="dxa" w:w="2880"/>
          </w:tcPr>
          <w:p>
            <w:r/>
            <w:r>
              <w:rPr>
                <w:sz w:val="17"/>
              </w:rPr>
              <w:t>AH-034</w:t>
            </w:r>
          </w:p>
        </w:tc>
        <w:tc>
          <w:tcPr>
            <w:tcW w:type="dxa" w:w="2880"/>
          </w:tcPr>
          <w:p>
            <w:r/>
            <w:r>
              <w:rPr>
                <w:sz w:val="17"/>
              </w:rPr>
              <w:t>Jennifer W. Kaminski, Xiangming Fang (2009). Victimization by Peers and Adolescent Suicide in Three US Samples. The Journal of Pediatrics. https://doi.org/10.1016/j.jpeds.2009.04.061</w:t>
            </w:r>
          </w:p>
        </w:tc>
        <w:tc>
          <w:tcPr>
            <w:tcW w:type="dxa" w:w="2880"/>
          </w:tcPr>
          <w:p>
            <w:r/>
            <w:r>
              <w:rPr>
                <w:sz w:val="17"/>
              </w:rPr>
              <w:t>Kaminski &amp; Fang (2009) analyzed THREE datasets — YRBS + Add Health + a high-risk 'Linkages' community sample; Add Health is one of three.</w:t>
            </w:r>
          </w:p>
        </w:tc>
      </w:tr>
    </w:tbl>
    <w:p>
      <w:r>
        <w:rPr>
          <w:b w:val="0"/>
          <w:i/>
          <w:color w:val="1B2230"/>
          <w:sz w:val="19"/>
        </w:rPr>
        <w:t>Correction carried into the catalogue: AH-056 (Anderson, Cesur &amp; Tekin 2015) was listed with DOI 10.1111/ecin.12176, which resolves to an unrelated paper; the correct DOI is 10.1111/ecin.12145.</w:t>
      </w:r>
    </w:p>
    <w:p>
      <w:pPr>
        <w:pStyle w:val="Heading1"/>
      </w:pPr>
      <w:r>
        <w:t>Study catalogue — Tier A (author, design, data, findings)</w:t>
      </w:r>
    </w:p>
    <w:p>
      <w:r>
        <w:rPr>
          <w:b w:val="0"/>
          <w:i/>
          <w:color w:val="7C879B"/>
          <w:sz w:val="19"/>
        </w:rPr>
        <w:t>63 Add Health studies with findings sourced from full text (4) or database abstracts. Grouped by domain.</w:t>
      </w:r>
    </w:p>
    <w:p>
      <w:pPr>
        <w:pStyle w:val="Heading2"/>
      </w:pPr>
      <w:r>
        <w:t>Neighborhood / contextual disadvantage &amp; mental health</w:t>
      </w:r>
    </w:p>
    <w:p>
      <w:r>
        <w:rPr>
          <w:rFonts w:ascii="Consolas" w:hAnsi="Consolas"/>
          <w:b/>
          <w:color w:val="28405C"/>
          <w:sz w:val="18"/>
        </w:rPr>
        <w:t xml:space="preserve">AH-008  </w:t>
      </w:r>
      <w:r>
        <w:rPr>
          <w:sz w:val="19"/>
        </w:rPr>
        <w:t>Paul E. Bellair, Thomas L. McNulty (2005). BEYOND THE BELL CURVE: COMMUNITY DISADVANTAGE AND THE EXPLANATION OF BLACK‐WHITE DIFFERENCES IN ADOLESCENT VIOLENCE*. Criminology. https://doi.org/10.1111/j.1745-9125.2005.00035.x</w:t>
      </w:r>
    </w:p>
    <w:p>
      <w:pPr>
        <w:ind w:left="360"/>
      </w:pPr>
      <w:r>
        <w:rPr>
          <w:color w:val="48526A"/>
          <w:sz w:val="19"/>
        </w:rPr>
        <w:t>Community and family socioeconomic disadvantage explained the Black–White gap in serious adolescent violence better than verbal ability.</w:t>
      </w:r>
    </w:p>
    <w:p>
      <w:pPr>
        <w:spacing w:after="160"/>
        <w:ind w:left="360"/>
      </w:pPr>
      <w:r>
        <w:rPr>
          <w:rFonts w:ascii="Consolas" w:hAnsi="Consolas"/>
          <w:color w:val="7C879B"/>
          <w:sz w:val="16"/>
        </w:rPr>
        <w:t>Design: Multilevel contextual   ·   Data: Wave I   ·   Verification: Abstract/DB</w:t>
      </w:r>
    </w:p>
    <w:p>
      <w:r>
        <w:rPr>
          <w:rFonts w:ascii="Consolas" w:hAnsi="Consolas"/>
          <w:b/>
          <w:color w:val="28405C"/>
          <w:sz w:val="18"/>
        </w:rPr>
        <w:t xml:space="preserve">AH-009  </w:t>
      </w:r>
      <w:r>
        <w:rPr>
          <w:sz w:val="19"/>
        </w:rPr>
        <w:t>Joanne M. Kaufman (2005). Explaining the race/ethnicity–violence relationship: Neighborhood context and social psychological processes. Justice Quarterly. https://doi.org/10.1080/07418820500088986</w:t>
      </w:r>
    </w:p>
    <w:p>
      <w:pPr>
        <w:ind w:left="360"/>
      </w:pPr>
      <w:r>
        <w:rPr>
          <w:color w:val="48526A"/>
          <w:sz w:val="19"/>
        </w:rPr>
        <w:t>Neighborhood context and witnessing/experiencing violence were key mediators of the race/ethnicity–violence relationship.</w:t>
      </w:r>
    </w:p>
    <w:p>
      <w:pPr>
        <w:spacing w:after="160"/>
        <w:ind w:left="360"/>
      </w:pPr>
      <w:r>
        <w:rPr>
          <w:rFonts w:ascii="Consolas" w:hAnsi="Consolas"/>
          <w:color w:val="7C879B"/>
          <w:sz w:val="16"/>
        </w:rPr>
        <w:t>Design: Multilevel mediation   ·   Data: Wave I   ·   Verification: Abstract/DB</w:t>
      </w:r>
    </w:p>
    <w:p>
      <w:r>
        <w:rPr>
          <w:rFonts w:ascii="Consolas" w:hAnsi="Consolas"/>
          <w:b/>
          <w:color w:val="28405C"/>
          <w:sz w:val="18"/>
        </w:rPr>
        <w:t xml:space="preserve">AH-014  </w:t>
      </w:r>
      <w:r>
        <w:rPr>
          <w:sz w:val="19"/>
        </w:rPr>
        <w:t>Stacy De Coster, Karen Heimer, Stacy M. Wittrock (2006). Neighborhood Disadvantage, Social Capital, Street Context, and Youth Violence. Sociological Quarterly. https://doi.org/10.1111/j.1533-8525.2006.00064.x</w:t>
      </w:r>
    </w:p>
    <w:p>
      <w:pPr>
        <w:ind w:left="360"/>
      </w:pPr>
      <w:r>
        <w:rPr>
          <w:color w:val="48526A"/>
          <w:sz w:val="19"/>
        </w:rPr>
        <w:t>Community disadvantage raised youth violence by shaping social capital and exposure to a criminogenic street context.</w:t>
      </w:r>
    </w:p>
    <w:p>
      <w:pPr>
        <w:spacing w:after="160"/>
        <w:ind w:left="360"/>
      </w:pPr>
      <w:r>
        <w:rPr>
          <w:rFonts w:ascii="Consolas" w:hAnsi="Consolas"/>
          <w:color w:val="7C879B"/>
          <w:sz w:val="16"/>
        </w:rPr>
        <w:t>Design: Multilevel   ·   Data: Wave I   ·   Verification: Abstract/DB</w:t>
      </w:r>
    </w:p>
    <w:p>
      <w:r>
        <w:rPr>
          <w:rFonts w:ascii="Consolas" w:hAnsi="Consolas"/>
          <w:b/>
          <w:color w:val="28405C"/>
          <w:sz w:val="18"/>
        </w:rPr>
        <w:t xml:space="preserve">AH-017  </w:t>
      </w:r>
      <w:r>
        <w:rPr>
          <w:sz w:val="19"/>
        </w:rPr>
        <w:t>David Wright, Kevin M. Fitzpatrick (2006). Social Capital and Adolescent Violent Behavior: Correlates of Fighting and Weapon Use among Secondary School Students. Social Forces. https://doi.org/10.1353/sof.2006.0077</w:t>
      </w:r>
    </w:p>
    <w:p>
      <w:pPr>
        <w:ind w:left="360"/>
      </w:pPr>
      <w:r>
        <w:rPr>
          <w:color w:val="48526A"/>
          <w:sz w:val="19"/>
        </w:rPr>
        <w:t>Some forms of social capital (sports/club participation) were associated with more fighting and weapon use — a counterintuitive result.</w:t>
      </w:r>
    </w:p>
    <w:p>
      <w:pPr>
        <w:spacing w:after="160"/>
        <w:ind w:left="360"/>
      </w:pPr>
      <w:r>
        <w:rPr>
          <w:rFonts w:ascii="Consolas" w:hAnsi="Consolas"/>
          <w:color w:val="7C879B"/>
          <w:sz w:val="16"/>
        </w:rPr>
        <w:t>Design: Cross-sectional   ·   Data: Wave I   ·   Verification: Abstract/DB</w:t>
      </w:r>
    </w:p>
    <w:p>
      <w:r>
        <w:rPr>
          <w:rFonts w:ascii="Consolas" w:hAnsi="Consolas"/>
          <w:b/>
          <w:color w:val="28405C"/>
          <w:sz w:val="18"/>
        </w:rPr>
        <w:t xml:space="preserve">AH-018  </w:t>
      </w:r>
      <w:r>
        <w:rPr>
          <w:sz w:val="19"/>
        </w:rPr>
        <w:t>Richard G. Wight, Amanda L. Botticello, Carol S. Aneshensel (2006). Socioeconomic Context, Social Support, and Adolescent Mental Health: A Multilevel Investigation. Journal of Youth and Adolescence. https://doi.org/10.1007/s10964-005-9009-2</w:t>
      </w:r>
    </w:p>
    <w:p>
      <w:pPr>
        <w:ind w:left="360"/>
      </w:pPr>
      <w:r>
        <w:rPr>
          <w:color w:val="48526A"/>
          <w:sz w:val="19"/>
        </w:rPr>
        <w:t>The effect of contextual SES disadvantage on adolescent depressive symptoms was contingent on individual-level perceived social support.</w:t>
      </w:r>
    </w:p>
    <w:p>
      <w:pPr>
        <w:spacing w:after="160"/>
        <w:ind w:left="360"/>
      </w:pPr>
      <w:r>
        <w:rPr>
          <w:rFonts w:ascii="Consolas" w:hAnsi="Consolas"/>
          <w:color w:val="7C879B"/>
          <w:sz w:val="16"/>
        </w:rPr>
        <w:t>Design: Multilevel   ·   Data: Wave I (N=18,417)   ·   Verification: Abstract/DB</w:t>
      </w:r>
    </w:p>
    <w:p>
      <w:r>
        <w:rPr>
          <w:rFonts w:ascii="Consolas" w:hAnsi="Consolas"/>
          <w:b/>
          <w:color w:val="28405C"/>
          <w:sz w:val="18"/>
        </w:rPr>
        <w:t xml:space="preserve">AH-024  </w:t>
      </w:r>
      <w:r>
        <w:rPr>
          <w:sz w:val="19"/>
        </w:rPr>
        <w:t>Pamela Hull, Barbara Kilbourne, Michelle Reece, Baqar Husaini (2008). Community involvement and adolescent mental health: moderating effects of race/ethnicity and neighborhood disadvantage. Journal of Community Psychology. https://doi.org/10.1002/jcop.20253</w:t>
      </w:r>
    </w:p>
    <w:p>
      <w:pPr>
        <w:ind w:left="360"/>
      </w:pPr>
      <w:r>
        <w:rPr>
          <w:color w:val="48526A"/>
          <w:sz w:val="19"/>
        </w:rPr>
        <w:t>Community involvement’s effect on adolescent mental health was moderated by race/ethnicity and neighborhood disadvantage.</w:t>
      </w:r>
    </w:p>
    <w:p>
      <w:pPr>
        <w:spacing w:after="160"/>
        <w:ind w:left="360"/>
      </w:pPr>
      <w:r>
        <w:rPr>
          <w:rFonts w:ascii="Consolas" w:hAnsi="Consolas"/>
          <w:color w:val="7C879B"/>
          <w:sz w:val="16"/>
        </w:rPr>
        <w:t>Design: Multilevel HLM   ·   Data: 2 waves (N=7,863)   ·   Verification: Abstract/DB</w:t>
      </w:r>
    </w:p>
    <w:p>
      <w:r>
        <w:rPr>
          <w:rFonts w:ascii="Consolas" w:hAnsi="Consolas"/>
          <w:b/>
          <w:color w:val="28405C"/>
          <w:sz w:val="18"/>
        </w:rPr>
        <w:t xml:space="preserve">AH-051  </w:t>
      </w:r>
      <w:r>
        <w:rPr>
          <w:sz w:val="19"/>
        </w:rPr>
        <w:t>Erin C. Dunn, Carly E. Milliren, Clare R. Evans, S. V. Subramanian, Tracy K. Richmond (2015). Disentangling the Relative Influence of Schools and Neighborhoods on Adolescents’ Risk for Depressive Symptoms. American Journal of Public Health. https://doi.org/10.2105/ajph.2014.302374</w:t>
      </w:r>
    </w:p>
    <w:p>
      <w:pPr>
        <w:ind w:left="360"/>
      </w:pPr>
      <w:r>
        <w:rPr>
          <w:color w:val="48526A"/>
          <w:sz w:val="19"/>
        </w:rPr>
        <w:t>School-level variation in depressive symptoms was more than three times the neighborhood-level variation.</w:t>
      </w:r>
    </w:p>
    <w:p>
      <w:pPr>
        <w:spacing w:after="160"/>
        <w:ind w:left="360"/>
      </w:pPr>
      <w:r>
        <w:rPr>
          <w:rFonts w:ascii="Consolas" w:hAnsi="Consolas"/>
          <w:color w:val="7C879B"/>
          <w:sz w:val="16"/>
        </w:rPr>
        <w:t>Design: Cross-classified multilevel   ·   Data: Wave I (N=6,083)   ·   Verification: Abstract/DB</w:t>
      </w:r>
    </w:p>
    <w:p>
      <w:r>
        <w:rPr>
          <w:rFonts w:ascii="Consolas" w:hAnsi="Consolas"/>
          <w:b/>
          <w:color w:val="28405C"/>
          <w:sz w:val="18"/>
        </w:rPr>
        <w:t xml:space="preserve">AH-068  </w:t>
      </w:r>
      <w:r>
        <w:rPr>
          <w:sz w:val="19"/>
        </w:rPr>
        <w:t>Rebekah Levine Coley, Jacqueline Sims, Eric Dearing, Bryn Spielvogel (2017). Locating Economic Risks for Adolescent Mental and Behavioral Health: Poverty and Affluence in Families, Neighborhoods, and Schools. Child Development. https://doi.org/10.1111/cdev.12771</w:t>
      </w:r>
    </w:p>
    <w:p>
      <w:pPr>
        <w:ind w:left="360"/>
      </w:pPr>
      <w:r>
        <w:rPr>
          <w:color w:val="48526A"/>
          <w:sz w:val="19"/>
        </w:rPr>
        <w:t>Youth at poorer schools reported more depression/anxiety; school context was more predictive than neighborhood or family income.</w:t>
      </w:r>
    </w:p>
    <w:p>
      <w:pPr>
        <w:spacing w:after="160"/>
        <w:ind w:left="360"/>
      </w:pPr>
      <w:r>
        <w:rPr>
          <w:rFonts w:ascii="Consolas" w:hAnsi="Consolas"/>
          <w:color w:val="7C879B"/>
          <w:sz w:val="16"/>
        </w:rPr>
        <w:t>Design: Cross-context regression   ·   Data: Wave I (N=13,179)   ·   Verification: Abstract/DB</w:t>
      </w:r>
    </w:p>
    <w:p>
      <w:r>
        <w:rPr>
          <w:rFonts w:ascii="Consolas" w:hAnsi="Consolas"/>
          <w:b/>
          <w:color w:val="28405C"/>
          <w:sz w:val="18"/>
        </w:rPr>
        <w:t xml:space="preserve">AH-085  </w:t>
      </w:r>
      <w:r>
        <w:rPr>
          <w:sz w:val="19"/>
        </w:rPr>
        <w:t>Kiwoong Park (2020). Does Relative Deprivation in School During Adolescence Get Under the Skin? A Causal Mediation Analysis from the Life Course Perspective. Social Indicators Research. https://doi.org/10.1007/s11205-020-02558-7</w:t>
      </w:r>
    </w:p>
    <w:p>
      <w:pPr>
        <w:ind w:left="360"/>
      </w:pPr>
      <w:r>
        <w:rPr>
          <w:color w:val="48526A"/>
          <w:sz w:val="19"/>
        </w:rPr>
        <w:t>Relative deprivation within schools worsened adolescent outcomes and "got under the skin" via life-course pathways.</w:t>
      </w:r>
    </w:p>
    <w:p>
      <w:pPr>
        <w:spacing w:after="160"/>
        <w:ind w:left="360"/>
      </w:pPr>
      <w:r>
        <w:rPr>
          <w:rFonts w:ascii="Consolas" w:hAnsi="Consolas"/>
          <w:color w:val="7C879B"/>
          <w:sz w:val="16"/>
        </w:rPr>
        <w:t>Design: Causal mediation   ·   Data: Add Health   ·   Verification: Abstract/DB</w:t>
      </w:r>
    </w:p>
    <w:p>
      <w:r>
        <w:rPr>
          <w:rFonts w:ascii="Consolas" w:hAnsi="Consolas"/>
          <w:b/>
          <w:color w:val="28405C"/>
          <w:sz w:val="18"/>
        </w:rPr>
        <w:t xml:space="preserve">AH-090  </w:t>
      </w:r>
      <w:r>
        <w:rPr>
          <w:sz w:val="19"/>
        </w:rPr>
        <w:t>Ying Huang, Jairemy Edwards, Marissa Aida Laurel-Wilson (2020). The shadow of context: Neighborhood and school socioeconomic disadvantage, perceived social integration, and the mental and behavioral health of adolescents. Health &amp; Place. https://doi.org/10.1016/j.healthplace.2020.102425</w:t>
      </w:r>
    </w:p>
    <w:p>
      <w:pPr>
        <w:ind w:left="360"/>
      </w:pPr>
      <w:r>
        <w:rPr>
          <w:color w:val="48526A"/>
          <w:sz w:val="19"/>
        </w:rPr>
        <w:t>Neighborhood (and, to a lesser degree, school) SES disadvantage uniquely predicted depressive symptoms; perceived social support moderated the associations.</w:t>
      </w:r>
    </w:p>
    <w:p>
      <w:pPr>
        <w:spacing w:after="160"/>
        <w:ind w:left="360"/>
      </w:pPr>
      <w:r>
        <w:rPr>
          <w:rFonts w:ascii="Consolas" w:hAnsi="Consolas"/>
          <w:color w:val="7C879B"/>
          <w:sz w:val="16"/>
        </w:rPr>
        <w:t>Design: Cross-classified multilevel   ·   Data: Wave I   ·   Verification: Abstract/DB</w:t>
      </w:r>
    </w:p>
    <w:p>
      <w:r>
        <w:rPr>
          <w:rFonts w:ascii="Consolas" w:hAnsi="Consolas"/>
          <w:b/>
          <w:color w:val="28405C"/>
          <w:sz w:val="18"/>
        </w:rPr>
        <w:t xml:space="preserve">AH-093  </w:t>
      </w:r>
      <w:r>
        <w:rPr>
          <w:sz w:val="19"/>
        </w:rPr>
        <w:t>Brittany V. Kent, Matt Bradshaw (2021). Adolescent Context and Depressive Symptom Trajectories in a National Sample: Ages 13 to 34. International Journal of Mental Health and Addiction. https://doi.org/10.1007/s11469-020-00236-w</w:t>
      </w:r>
    </w:p>
    <w:p>
      <w:pPr>
        <w:ind w:left="360"/>
      </w:pPr>
      <w:r>
        <w:rPr>
          <w:color w:val="48526A"/>
          <w:sz w:val="19"/>
        </w:rPr>
        <w:t>Adolescent context was associated with depressive-symptom trajectories from adolescence into adulthood.</w:t>
      </w:r>
    </w:p>
    <w:p>
      <w:pPr>
        <w:spacing w:after="160"/>
        <w:ind w:left="360"/>
      </w:pPr>
      <w:r>
        <w:rPr>
          <w:rFonts w:ascii="Consolas" w:hAnsi="Consolas"/>
          <w:color w:val="7C879B"/>
          <w:sz w:val="16"/>
        </w:rPr>
        <w:t>Design: Trajectory analysis   ·   Data: National sample, ages 13–34   ·   Verification: Abstract/DB</w:t>
      </w:r>
    </w:p>
    <w:p>
      <w:r>
        <w:rPr>
          <w:rFonts w:ascii="Consolas" w:hAnsi="Consolas"/>
          <w:b/>
          <w:color w:val="28405C"/>
          <w:sz w:val="18"/>
        </w:rPr>
        <w:t xml:space="preserve">AH-105  </w:t>
      </w:r>
      <w:r>
        <w:rPr>
          <w:sz w:val="19"/>
        </w:rPr>
        <w:t>Alexander Testa, Dylan B. Jackson, Reed DeAngelis, Nia Heard-Garris, Daniel C. Semenza, Odis Johnson (2024). Historical Redlining and Contemporary Violent Victimization Over the Life Course. American Journal of Preventive Medicine. https://doi.org/10.1016/j.amepre.2024.06.013</w:t>
      </w:r>
    </w:p>
    <w:p>
      <w:pPr>
        <w:ind w:left="360"/>
      </w:pPr>
      <w:r>
        <w:rPr>
          <w:color w:val="48526A"/>
          <w:sz w:val="19"/>
        </w:rPr>
        <w:t>Residence in historically redlined areas predicted more violent victimization across the life course, with variation by race/ethnicity.</w:t>
      </w:r>
    </w:p>
    <w:p>
      <w:pPr>
        <w:spacing w:after="160"/>
        <w:ind w:left="360"/>
      </w:pPr>
      <w:r>
        <w:rPr>
          <w:rFonts w:ascii="Consolas" w:hAnsi="Consolas"/>
          <w:color w:val="7C879B"/>
          <w:sz w:val="16"/>
        </w:rPr>
        <w:t>Design: Within-between multilevel   ·   Data: Waves I, III, IV, V (N=8,266)   ·   Verification: Abstract/DB</w:t>
      </w:r>
    </w:p>
    <w:p>
      <w:r>
        <w:rPr>
          <w:rFonts w:ascii="Consolas" w:hAnsi="Consolas"/>
          <w:b/>
          <w:color w:val="28405C"/>
          <w:sz w:val="18"/>
        </w:rPr>
        <w:t xml:space="preserve">AH-106  </w:t>
      </w:r>
      <w:r>
        <w:rPr>
          <w:sz w:val="19"/>
        </w:rPr>
        <w:t>Rachel J. Kulchar, Breanna J. Rogers, Sam J. Neally, Alyssa Shishkov, Yangyang Deng, Mohammad Moniruzzaman, Kosuke Tamura (2024). Perceived Neighborhood Social Environment and Adolescent Depressive Symptoms: Insights from the Add Health. Health Equity. https://doi.org/10.1089/heq.2024.0100</w:t>
      </w:r>
    </w:p>
    <w:p>
      <w:pPr>
        <w:ind w:left="360"/>
      </w:pPr>
      <w:r>
        <w:rPr>
          <w:color w:val="48526A"/>
          <w:sz w:val="19"/>
        </w:rPr>
        <w:t>Perceived neighborhood safety, cohesion, and contentedness were associated with fewer depressive symptoms (β up to −1.46, p&lt;.001).</w:t>
      </w:r>
    </w:p>
    <w:p>
      <w:pPr>
        <w:spacing w:after="160"/>
        <w:ind w:left="360"/>
      </w:pPr>
      <w:r>
        <w:rPr>
          <w:rFonts w:ascii="Consolas" w:hAnsi="Consolas"/>
          <w:color w:val="7C879B"/>
          <w:sz w:val="16"/>
        </w:rPr>
        <w:t>Design: Cross-sectional (Wave I)   ·   Data: Wave I (N=6,083)   ·   Verification: Abstract/DB</w:t>
      </w:r>
    </w:p>
    <w:p>
      <w:r>
        <w:rPr>
          <w:rFonts w:ascii="Consolas" w:hAnsi="Consolas"/>
          <w:b/>
          <w:color w:val="28405C"/>
          <w:sz w:val="18"/>
        </w:rPr>
        <w:t xml:space="preserve">NEW-01  </w:t>
      </w:r>
      <w:r>
        <w:rPr>
          <w:sz w:val="19"/>
        </w:rPr>
        <w:t>DeAngelis, Frizzelle, Hummer &amp; Harris (2024). Traces of Historical Redlining in the Contemporary United States: New Evidence from the Add Health Cohort. Population Research &amp; Policy Review.</w:t>
      </w:r>
    </w:p>
    <w:p>
      <w:pPr>
        <w:ind w:left="360"/>
      </w:pPr>
      <w:r>
        <w:rPr>
          <w:color w:val="48526A"/>
          <w:sz w:val="19"/>
        </w:rPr>
        <w:t>Black (22%) and Hispanic (28%) participants were far more likely than White peers (8%) to have lived in formerly redlined areas in adolescence; contextual traces persist into adulthood. [Identified via database search; not in original corpus.]</w:t>
      </w:r>
    </w:p>
    <w:p>
      <w:pPr>
        <w:spacing w:after="160"/>
        <w:ind w:left="360"/>
      </w:pPr>
      <w:r>
        <w:rPr>
          <w:rFonts w:ascii="Consolas" w:hAnsi="Consolas"/>
          <w:color w:val="7C879B"/>
          <w:sz w:val="16"/>
        </w:rPr>
        <w:t>Design: Address-linked cohort analysis   ·   Data: Add Health cohort (N=10,897)   ·   Verification: Abstract/DB</w:t>
      </w:r>
    </w:p>
    <w:p>
      <w:pPr>
        <w:pStyle w:val="Heading2"/>
      </w:pPr>
      <w:r>
        <w:t>Community &amp; street violence exposure</w:t>
      </w:r>
    </w:p>
    <w:p>
      <w:r>
        <w:rPr>
          <w:rFonts w:ascii="Consolas" w:hAnsi="Consolas"/>
          <w:b/>
          <w:color w:val="28405C"/>
          <w:sz w:val="18"/>
        </w:rPr>
        <w:t xml:space="preserve">AH-004  </w:t>
      </w:r>
      <w:r>
        <w:rPr>
          <w:sz w:val="19"/>
        </w:rPr>
        <w:t>John Hagan, Holly Foster (2001). Youth Violence and the End of Adolescence. American Sociological Review. https://doi.org/10.1177/000312240106600605</w:t>
      </w:r>
    </w:p>
    <w:p>
      <w:pPr>
        <w:ind w:left="360"/>
      </w:pPr>
      <w:r>
        <w:rPr>
          <w:color w:val="48526A"/>
          <w:sz w:val="19"/>
        </w:rPr>
        <w:t>Adolescent exposure to violence, especially in intimate relationships, was linked to later depression and premature transitions out of adolescence.</w:t>
      </w:r>
    </w:p>
    <w:p>
      <w:pPr>
        <w:spacing w:after="160"/>
        <w:ind w:left="360"/>
      </w:pPr>
      <w:r>
        <w:rPr>
          <w:rFonts w:ascii="Consolas" w:hAnsi="Consolas"/>
          <w:color w:val="7C879B"/>
          <w:sz w:val="16"/>
        </w:rPr>
        <w:t>Design: Longitudinal regression   ·   Data: Waves I–II   ·   Verification: Abstract/DB</w:t>
      </w:r>
    </w:p>
    <w:p>
      <w:r>
        <w:rPr>
          <w:rFonts w:ascii="Consolas" w:hAnsi="Consolas"/>
          <w:b/>
          <w:color w:val="28405C"/>
          <w:sz w:val="18"/>
        </w:rPr>
        <w:t xml:space="preserve">AH-011  </w:t>
      </w:r>
      <w:r>
        <w:rPr>
          <w:sz w:val="19"/>
        </w:rPr>
        <w:t>Robert D. Latzman, Raymond R. Swisher (2005). The interactive relationship among adolescent violence, street violence, and depression. Journal of Community Psychology. https://doi.org/10.1002/jcop.20051</w:t>
      </w:r>
    </w:p>
    <w:p>
      <w:pPr>
        <w:ind w:left="360"/>
      </w:pPr>
      <w:r>
        <w:rPr>
          <w:color w:val="48526A"/>
          <w:sz w:val="19"/>
        </w:rPr>
        <w:t>Documented interactive associations among street-violence exposure, adolescent violence, and depression.</w:t>
      </w:r>
    </w:p>
    <w:p>
      <w:pPr>
        <w:spacing w:after="160"/>
        <w:ind w:left="360"/>
      </w:pPr>
      <w:r>
        <w:rPr>
          <w:rFonts w:ascii="Consolas" w:hAnsi="Consolas"/>
          <w:color w:val="7C879B"/>
          <w:sz w:val="16"/>
        </w:rPr>
        <w:t>Design: Prospective longitudinal regression   ·   Data: Waves I–II   ·   Verification: Abstract/DB</w:t>
      </w:r>
    </w:p>
    <w:p>
      <w:r>
        <w:rPr>
          <w:rFonts w:ascii="Consolas" w:hAnsi="Consolas"/>
          <w:b/>
          <w:color w:val="28405C"/>
          <w:sz w:val="18"/>
        </w:rPr>
        <w:t xml:space="preserve">AH-030  </w:t>
      </w:r>
      <w:r>
        <w:rPr>
          <w:sz w:val="19"/>
        </w:rPr>
        <w:t>Wanyi Chen (2009). Exposure to Community Violence and Adolescents’ Internalizing Behaviors Among African American and Asian American Adolescents. Journal of Youth and Adolescence. https://doi.org/10.1007/s10964-009-9427-7</w:t>
      </w:r>
    </w:p>
    <w:p>
      <w:pPr>
        <w:ind w:left="360"/>
      </w:pPr>
      <w:r>
        <w:rPr>
          <w:color w:val="48526A"/>
          <w:sz w:val="19"/>
        </w:rPr>
        <w:t>Community-violence exposure predicted internalizing behaviors among African American and Asian American adolescents; social support acted as a buffer.</w:t>
      </w:r>
    </w:p>
    <w:p>
      <w:pPr>
        <w:spacing w:after="160"/>
        <w:ind w:left="360"/>
      </w:pPr>
      <w:r>
        <w:rPr>
          <w:rFonts w:ascii="Consolas" w:hAnsi="Consolas"/>
          <w:color w:val="7C879B"/>
          <w:sz w:val="16"/>
        </w:rPr>
        <w:t>Design: Prospective longitudinal   ·   Data: Waves I–II (N≈2,261)   ·   Verification: Abstract/DB</w:t>
      </w:r>
    </w:p>
    <w:p>
      <w:r>
        <w:rPr>
          <w:rFonts w:ascii="Consolas" w:hAnsi="Consolas"/>
          <w:b/>
          <w:color w:val="28405C"/>
          <w:sz w:val="18"/>
        </w:rPr>
        <w:t xml:space="preserve">AH-049  </w:t>
      </w:r>
      <w:r>
        <w:rPr>
          <w:sz w:val="19"/>
        </w:rPr>
        <w:t>Tara D. Warner, Raymond R. Swisher (2014). The Effect of Direct and Indirect Exposure to Violence on Youth Survival Expectations. Journal of Adolescent Health. https://doi.org/10.1016/j.jadohealth.2014.06.019</w:t>
      </w:r>
    </w:p>
    <w:p>
      <w:pPr>
        <w:ind w:left="360"/>
      </w:pPr>
      <w:r>
        <w:rPr>
          <w:color w:val="48526A"/>
          <w:sz w:val="19"/>
        </w:rPr>
        <w:t>Direct and indirect violence exposure lowered youths’ survival expectations; childhood physical abuse lowered expectation of surviving to age 35.</w:t>
      </w:r>
    </w:p>
    <w:p>
      <w:pPr>
        <w:spacing w:after="160"/>
        <w:ind w:left="360"/>
      </w:pPr>
      <w:r>
        <w:rPr>
          <w:rFonts w:ascii="Consolas" w:hAnsi="Consolas"/>
          <w:color w:val="7C879B"/>
          <w:sz w:val="16"/>
        </w:rPr>
        <w:t>Design: Prospective (3 waves)   ·   Data: Waves I–III   ·   Verification: Abstract/DB</w:t>
      </w:r>
    </w:p>
    <w:p>
      <w:pPr>
        <w:pStyle w:val="Heading2"/>
      </w:pPr>
      <w:r>
        <w:t>Victimization consequences &amp; fixed-effects/sibling designs</w:t>
      </w:r>
    </w:p>
    <w:p>
      <w:r>
        <w:rPr>
          <w:rFonts w:ascii="Consolas" w:hAnsi="Consolas"/>
          <w:b/>
          <w:color w:val="28405C"/>
          <w:sz w:val="18"/>
        </w:rPr>
        <w:t xml:space="preserve">AH-052  </w:t>
      </w:r>
      <w:r>
        <w:rPr>
          <w:sz w:val="19"/>
        </w:rPr>
        <w:t>Jillian J. Turanovic, Travis C. Pratt (2015). Longitudinal Effects of Violent Victimization during Adolescence on Adverse Outcomes in Adulthood: A Focus on Prosocial Attachments. The Journal of Pediatrics. https://doi.org/10.1016/j.jpeds.2014.12.059</w:t>
      </w:r>
    </w:p>
    <w:p>
      <w:pPr>
        <w:ind w:left="360"/>
      </w:pPr>
      <w:r>
        <w:rPr>
          <w:color w:val="48526A"/>
          <w:sz w:val="19"/>
        </w:rPr>
        <w:t>Adolescent victimization predicted numerous adult adversities including depression; school and family attachment buffered nearly every outcome.</w:t>
      </w:r>
    </w:p>
    <w:p>
      <w:pPr>
        <w:spacing w:after="160"/>
        <w:ind w:left="360"/>
      </w:pPr>
      <w:r>
        <w:rPr>
          <w:rFonts w:ascii="Consolas" w:hAnsi="Consolas"/>
          <w:color w:val="7C879B"/>
          <w:sz w:val="16"/>
        </w:rPr>
        <w:t>Design: Prospective longitudinal   ·   Data: Waves 1 &amp; 3 (N=13,555)   ·   Verification: Abstract/DB</w:t>
      </w:r>
    </w:p>
    <w:p>
      <w:r>
        <w:rPr>
          <w:rFonts w:ascii="Consolas" w:hAnsi="Consolas"/>
          <w:b/>
          <w:color w:val="28405C"/>
          <w:sz w:val="18"/>
        </w:rPr>
        <w:t xml:space="preserve">AH-057  </w:t>
      </w:r>
      <w:r>
        <w:rPr>
          <w:sz w:val="19"/>
        </w:rPr>
        <w:t>Michael A. Russell, Sara A. Vasilenko, Stephanie T. Lanza (2016). Age-Varying Links Between Violence Exposure and Behavioral, Mental, and Physical Health. Journal of Adolescent Health. https://doi.org/10.1016/j.jadohealth.2016.03.038</w:t>
      </w:r>
    </w:p>
    <w:p>
      <w:pPr>
        <w:ind w:left="360"/>
      </w:pPr>
      <w:r>
        <w:rPr>
          <w:color w:val="48526A"/>
          <w:sz w:val="19"/>
        </w:rPr>
        <w:t>The violence-exposure→depressive-symptom association was strongest at ages 14–15 (age-varying developmental pattern).</w:t>
      </w:r>
    </w:p>
    <w:p>
      <w:pPr>
        <w:spacing w:after="160"/>
        <w:ind w:left="360"/>
      </w:pPr>
      <w:r>
        <w:rPr>
          <w:rFonts w:ascii="Consolas" w:hAnsi="Consolas"/>
          <w:color w:val="7C879B"/>
          <w:sz w:val="16"/>
        </w:rPr>
        <w:t>Design: Time-varying effect model (TVEM)   ·   Data: Waves I–IV (N=5,103)   ·   Verification: Abstract/DB</w:t>
      </w:r>
    </w:p>
    <w:p>
      <w:r>
        <w:rPr>
          <w:rFonts w:ascii="Consolas" w:hAnsi="Consolas"/>
          <w:b/>
          <w:color w:val="28405C"/>
          <w:sz w:val="18"/>
        </w:rPr>
        <w:t xml:space="preserve">AH-064  </w:t>
      </w:r>
      <w:r>
        <w:rPr>
          <w:sz w:val="19"/>
        </w:rPr>
        <w:t>Tara D. Warner, David F. Warner, Danielle C. Kuhl (2017). Cut to the Quick: The Consequences of Youth Violent Victimization for the Timing of Dating Debut and First Union Formation. American Sociological Review. https://doi.org/10.1177/0003122417734353</w:t>
      </w:r>
    </w:p>
    <w:p>
      <w:pPr>
        <w:ind w:left="360"/>
      </w:pPr>
      <w:r>
        <w:rPr>
          <w:color w:val="48526A"/>
          <w:sz w:val="19"/>
        </w:rPr>
        <w:t>Youth violent victimization disrupted the timing of dating debut and first coresidential union.</w:t>
      </w:r>
    </w:p>
    <w:p>
      <w:pPr>
        <w:spacing w:after="160"/>
        <w:ind w:left="360"/>
      </w:pPr>
      <w:r>
        <w:rPr>
          <w:rFonts w:ascii="Consolas" w:hAnsi="Consolas"/>
          <w:color w:val="7C879B"/>
          <w:sz w:val="16"/>
        </w:rPr>
        <w:t>Design: Cox event-history   ·   Data: Add Health (multi-wave)   ·   Verification: Abstract/DB</w:t>
      </w:r>
    </w:p>
    <w:p>
      <w:r>
        <w:rPr>
          <w:rFonts w:ascii="Consolas" w:hAnsi="Consolas"/>
          <w:b/>
          <w:color w:val="28405C"/>
          <w:sz w:val="18"/>
        </w:rPr>
        <w:t xml:space="preserve">AH-073  </w:t>
      </w:r>
      <w:r>
        <w:rPr>
          <w:sz w:val="19"/>
        </w:rPr>
        <w:t>Jillian J. Turanovic (2018). Heterogeneous effects of adolescent violent victimization on problematic outcomes in early adulthood*. Criminology. https://doi.org/10.1111/1745-9125.12198</w:t>
      </w:r>
    </w:p>
    <w:p>
      <w:pPr>
        <w:ind w:left="360"/>
      </w:pPr>
      <w:r>
        <w:rPr>
          <w:color w:val="48526A"/>
          <w:sz w:val="19"/>
        </w:rPr>
        <w:t>Adolescent victimization’s adverse effects (including depressive symptoms) were most pronounced for youth with the lowest risk of victimization.</w:t>
      </w:r>
    </w:p>
    <w:p>
      <w:pPr>
        <w:spacing w:after="160"/>
        <w:ind w:left="360"/>
      </w:pPr>
      <w:r>
        <w:rPr>
          <w:rFonts w:ascii="Consolas" w:hAnsi="Consolas"/>
          <w:color w:val="7C879B"/>
          <w:sz w:val="16"/>
        </w:rPr>
        <w:t>Design: Propensity-score matching   ·   Data: Add Health (N=8,323)   ·   Verification: Abstract/DB</w:t>
      </w:r>
    </w:p>
    <w:p>
      <w:r>
        <w:rPr>
          <w:rFonts w:ascii="Consolas" w:hAnsi="Consolas"/>
          <w:b/>
          <w:color w:val="28405C"/>
          <w:sz w:val="18"/>
        </w:rPr>
        <w:t xml:space="preserve">AH-095  </w:t>
      </w:r>
      <w:r>
        <w:rPr>
          <w:sz w:val="19"/>
        </w:rPr>
        <w:t>Eric J. Connolly, Brittany E. Hayes, Danielle Boisvert, Eric M. Cooke (2021). Intimate Partner Victimization and Depressive Symptoms: Approaching Causal Inference Using a Longitudinal Twin Design. Journal of Quantitative Criminology. https://doi.org/10.1007/s10940-021-09509-6</w:t>
      </w:r>
    </w:p>
    <w:p>
      <w:pPr>
        <w:ind w:left="360"/>
      </w:pPr>
      <w:r>
        <w:rPr>
          <w:color w:val="48526A"/>
          <w:sz w:val="19"/>
        </w:rPr>
        <w:t>Intimate-partner victimization predicted depressive symptoms under a genetically informed design that controls shared confounding.</w:t>
      </w:r>
    </w:p>
    <w:p>
      <w:pPr>
        <w:spacing w:after="160"/>
        <w:ind w:left="360"/>
      </w:pPr>
      <w:r>
        <w:rPr>
          <w:rFonts w:ascii="Consolas" w:hAnsi="Consolas"/>
          <w:color w:val="7C879B"/>
          <w:sz w:val="16"/>
        </w:rPr>
        <w:t>Design: Longitudinal twin (co-twin control)   ·   Data: Add Health twins   ·   Verification: Abstract/DB</w:t>
      </w:r>
    </w:p>
    <w:p>
      <w:r>
        <w:rPr>
          <w:rFonts w:ascii="Consolas" w:hAnsi="Consolas"/>
          <w:b/>
          <w:color w:val="28405C"/>
          <w:sz w:val="18"/>
        </w:rPr>
        <w:t xml:space="preserve">AH-097  </w:t>
      </w:r>
      <w:r>
        <w:rPr>
          <w:sz w:val="19"/>
        </w:rPr>
        <w:t>Daniel C. Semenza, Alexander Testa, Jillian J. Turanovic (2021). Trajectories of violent victimization over the life course: Implications for mental and physical health. Advances in Life Course Research. https://doi.org/10.1016/j.alcr.2021.100436</w:t>
      </w:r>
    </w:p>
    <w:p>
      <w:pPr>
        <w:ind w:left="360"/>
      </w:pPr>
      <w:r>
        <w:rPr>
          <w:color w:val="48526A"/>
          <w:sz w:val="19"/>
        </w:rPr>
        <w:t>Violent-victimization trajectories predicted depression, PTSD, and self-rated health; Black and male respondents were at higher risk.</w:t>
      </w:r>
    </w:p>
    <w:p>
      <w:pPr>
        <w:spacing w:after="160"/>
        <w:ind w:left="360"/>
      </w:pPr>
      <w:r>
        <w:rPr>
          <w:rFonts w:ascii="Consolas" w:hAnsi="Consolas"/>
          <w:color w:val="7C879B"/>
          <w:sz w:val="16"/>
        </w:rPr>
        <w:t>Design: Group-based trajectory modeling   ·   Data: 4 waves   ·   Verification: Abstract/DB</w:t>
      </w:r>
    </w:p>
    <w:p>
      <w:r>
        <w:rPr>
          <w:rFonts w:ascii="Consolas" w:hAnsi="Consolas"/>
          <w:b/>
          <w:color w:val="28405C"/>
          <w:sz w:val="18"/>
        </w:rPr>
        <w:t xml:space="preserve">AH-103  </w:t>
      </w:r>
      <w:r>
        <w:rPr>
          <w:sz w:val="19"/>
        </w:rPr>
        <w:t>Sara R. Jaffee, Stephanie Hasford, Joel A. Fein (2023). Differential exposure to gun or knife violence over two decades is associated with sibling differences in depression. Development and Psychopathology. https://doi.org/10.1017/s0954579422000797</w:t>
      </w:r>
    </w:p>
    <w:p>
      <w:pPr>
        <w:ind w:left="360"/>
      </w:pPr>
      <w:r>
        <w:rPr>
          <w:color w:val="48526A"/>
          <w:sz w:val="19"/>
        </w:rPr>
        <w:t>Greater cumulative gun/knife-violence exposure predicted more depression; results replicated in sibling fixed-effects models, supporting a causal interpretation.</w:t>
      </w:r>
    </w:p>
    <w:p>
      <w:pPr>
        <w:spacing w:after="160"/>
        <w:ind w:left="360"/>
      </w:pPr>
      <w:r>
        <w:rPr>
          <w:rFonts w:ascii="Consolas" w:hAnsi="Consolas"/>
          <w:color w:val="7C879B"/>
          <w:sz w:val="16"/>
        </w:rPr>
        <w:t>Design: Sibling fixed effects   ·   Data: Waves I–IV (N=3,929 siblings / 1,970 families)   ·   Verification: Full text</w:t>
      </w:r>
    </w:p>
    <w:p>
      <w:r>
        <w:rPr>
          <w:rFonts w:ascii="Consolas" w:hAnsi="Consolas"/>
          <w:b/>
          <w:color w:val="28405C"/>
          <w:sz w:val="18"/>
        </w:rPr>
        <w:t xml:space="preserve">AH-111  </w:t>
      </w:r>
      <w:r>
        <w:rPr>
          <w:sz w:val="19"/>
        </w:rPr>
        <w:t>Roderick L. Pearson (2025). Examining the Effect of Weapons-Based Victimization on Depression: A Fixed Effects Approach to Account for the Effect of Offending and Low Self-Control. Journal of Developmental and Life-Course Criminology. https://doi.org/10.1007/s40865-025-00281-w</w:t>
      </w:r>
    </w:p>
    <w:p>
      <w:pPr>
        <w:ind w:left="360"/>
      </w:pPr>
      <w:r>
        <w:rPr>
          <w:color w:val="48526A"/>
          <w:sz w:val="19"/>
        </w:rPr>
        <w:t>Weapon-based victimization (threats, stabbing, multiple types) was associated with small within-person increases in depression after within-person controls.</w:t>
      </w:r>
    </w:p>
    <w:p>
      <w:pPr>
        <w:spacing w:after="160"/>
        <w:ind w:left="360"/>
      </w:pPr>
      <w:r>
        <w:rPr>
          <w:rFonts w:ascii="Consolas" w:hAnsi="Consolas"/>
          <w:color w:val="7C879B"/>
          <w:sz w:val="16"/>
        </w:rPr>
        <w:t>Design: Individual fixed effects + individual slopes   ·   Data: Waves I–III (N=20,372 persons; 46,249 obs.)   ·   Verification: Full text</w:t>
      </w:r>
    </w:p>
    <w:p>
      <w:r>
        <w:rPr>
          <w:rFonts w:ascii="Consolas" w:hAnsi="Consolas"/>
          <w:b/>
          <w:color w:val="28405C"/>
          <w:sz w:val="18"/>
        </w:rPr>
        <w:t xml:space="preserve">AH-112  </w:t>
      </w:r>
      <w:r>
        <w:rPr>
          <w:sz w:val="19"/>
        </w:rPr>
        <w:t>Jinho Kim, Taehoon Kim (2025). Teen dating violence victimization and mental health in adulthood: The mediating roles of violence experiences and lifestyle factors. Social Science &amp; Medicine. https://doi.org/10.1016/j.socscimed.2025.118423</w:t>
      </w:r>
    </w:p>
    <w:p>
      <w:pPr>
        <w:ind w:left="360"/>
      </w:pPr>
      <w:r>
        <w:rPr>
          <w:color w:val="48526A"/>
          <w:sz w:val="19"/>
        </w:rPr>
        <w:t>Teen dating-violence victimization predicted worse adult mental health, partly mediated by intervening pathways.</w:t>
      </w:r>
    </w:p>
    <w:p>
      <w:pPr>
        <w:spacing w:after="160"/>
        <w:ind w:left="360"/>
      </w:pPr>
      <w:r>
        <w:rPr>
          <w:rFonts w:ascii="Consolas" w:hAnsi="Consolas"/>
          <w:color w:val="7C879B"/>
          <w:sz w:val="16"/>
        </w:rPr>
        <w:t>Design: Sibling fixed effects + mediation   ·   Data: Waves I–V   ·   Verification: Abstract/DB</w:t>
      </w:r>
    </w:p>
    <w:p>
      <w:r>
        <w:rPr>
          <w:rFonts w:ascii="Consolas" w:hAnsi="Consolas"/>
          <w:b/>
          <w:color w:val="28405C"/>
          <w:sz w:val="18"/>
        </w:rPr>
        <w:t xml:space="preserve">AH-117  </w:t>
      </w:r>
      <w:r>
        <w:rPr>
          <w:sz w:val="19"/>
        </w:rPr>
        <w:t>Jinho Kim, Kiwoong Park (2026). Gendered Mental Health Consequences of Violent Victimization: An Asymmetric Fixed Effects Analysis. American Journal of Criminal Justice. https://doi.org/10.1007/s12103-025-09852-5</w:t>
      </w:r>
    </w:p>
    <w:p>
      <w:pPr>
        <w:ind w:left="360"/>
      </w:pPr>
      <w:r>
        <w:rPr>
          <w:color w:val="48526A"/>
          <w:sz w:val="19"/>
        </w:rPr>
        <w:t>For women, the mental-health benefit of decreases in violent victimization exceeded the harm of increases; no such asymmetry for men.</w:t>
      </w:r>
    </w:p>
    <w:p>
      <w:pPr>
        <w:spacing w:after="160"/>
        <w:ind w:left="360"/>
      </w:pPr>
      <w:r>
        <w:rPr>
          <w:rFonts w:ascii="Consolas" w:hAnsi="Consolas"/>
          <w:color w:val="7C879B"/>
          <w:sz w:val="16"/>
        </w:rPr>
        <w:t>Design: Asymmetric individual fixed effects   ·   Data: Waves III–IV   ·   Verification: Abstract/DB</w:t>
      </w:r>
    </w:p>
    <w:p>
      <w:pPr>
        <w:pStyle w:val="Heading2"/>
      </w:pPr>
      <w:r>
        <w:t>Moderators &amp; protective factors</w:t>
      </w:r>
    </w:p>
    <w:p>
      <w:r>
        <w:rPr>
          <w:rFonts w:ascii="Consolas" w:hAnsi="Consolas"/>
          <w:b/>
          <w:color w:val="28405C"/>
          <w:sz w:val="18"/>
        </w:rPr>
        <w:t xml:space="preserve">AH-002  </w:t>
      </w:r>
      <w:r>
        <w:rPr>
          <w:sz w:val="19"/>
        </w:rPr>
        <w:t>Michael D. Resnick (1997). Protecting Adolescents From Harm. JAMA. https://doi.org/10.1001/jama.1997.03550100049038</w:t>
      </w:r>
    </w:p>
    <w:p>
      <w:pPr>
        <w:ind w:left="360"/>
      </w:pPr>
      <w:r>
        <w:rPr>
          <w:color w:val="48526A"/>
          <w:sz w:val="19"/>
        </w:rPr>
        <w:t>Family and school connectedness were protective against emotional distress, violence, and substance use — the landmark Add Health protective-factors paper.</w:t>
      </w:r>
    </w:p>
    <w:p>
      <w:pPr>
        <w:spacing w:after="160"/>
        <w:ind w:left="360"/>
      </w:pPr>
      <w:r>
        <w:rPr>
          <w:rFonts w:ascii="Consolas" w:hAnsi="Consolas"/>
          <w:color w:val="7C879B"/>
          <w:sz w:val="16"/>
        </w:rPr>
        <w:t>Design: Cross-sectional (Wave I)   ·   Data: Wave I in-home (~N=12,000)   ·   Verification: Abstract/DB</w:t>
      </w:r>
    </w:p>
    <w:p>
      <w:r>
        <w:rPr>
          <w:rFonts w:ascii="Consolas" w:hAnsi="Consolas"/>
          <w:b/>
          <w:color w:val="28405C"/>
          <w:sz w:val="18"/>
        </w:rPr>
        <w:t xml:space="preserve">AH-005  </w:t>
      </w:r>
      <w:r>
        <w:rPr>
          <w:sz w:val="19"/>
        </w:rPr>
        <w:t>James M. Nonnemaker, Cleva McNeely, Robert Wm. Blum (2003). Public and private domains of religiosity and adolescent health risk behaviors: evidence from the National Longitudinal Study of Adolescent Health. Social Science &amp; Medicine. https://doi.org/10.1016/S0277-9536(03)00096-0</w:t>
      </w:r>
    </w:p>
    <w:p>
      <w:pPr>
        <w:ind w:left="360"/>
      </w:pPr>
      <w:r>
        <w:rPr>
          <w:color w:val="48526A"/>
          <w:sz w:val="19"/>
        </w:rPr>
        <w:t>Public and private religiosity were protective across multiple adolescent health-risk behaviors.</w:t>
      </w:r>
    </w:p>
    <w:p>
      <w:pPr>
        <w:spacing w:after="160"/>
        <w:ind w:left="360"/>
      </w:pPr>
      <w:r>
        <w:rPr>
          <w:rFonts w:ascii="Consolas" w:hAnsi="Consolas"/>
          <w:color w:val="7C879B"/>
          <w:sz w:val="16"/>
        </w:rPr>
        <w:t>Design: Cross-sectional   ·   Data: Wave I   ·   Verification: Abstract/DB</w:t>
      </w:r>
    </w:p>
    <w:p>
      <w:r>
        <w:rPr>
          <w:rFonts w:ascii="Consolas" w:hAnsi="Consolas"/>
          <w:b/>
          <w:color w:val="28405C"/>
          <w:sz w:val="18"/>
        </w:rPr>
        <w:t xml:space="preserve">AH-010  </w:t>
      </w:r>
      <w:r>
        <w:rPr>
          <w:sz w:val="19"/>
        </w:rPr>
        <w:t>Jennifer G. Nooney (2005). Religion, Stress, and Mental Health in Adolescence: Findings from Add Health. Review of Religious Research. https://doi.org/10.2307/3512165</w:t>
      </w:r>
    </w:p>
    <w:p>
      <w:pPr>
        <w:ind w:left="360"/>
      </w:pPr>
      <w:r>
        <w:rPr>
          <w:color w:val="48526A"/>
          <w:sz w:val="19"/>
        </w:rPr>
        <w:t>Religiosity’s protective effect on adolescent mental health was mediated by stressors, perceived support, and self-esteem.</w:t>
      </w:r>
    </w:p>
    <w:p>
      <w:pPr>
        <w:spacing w:after="160"/>
        <w:ind w:left="360"/>
      </w:pPr>
      <w:r>
        <w:rPr>
          <w:rFonts w:ascii="Consolas" w:hAnsi="Consolas"/>
          <w:color w:val="7C879B"/>
          <w:sz w:val="16"/>
        </w:rPr>
        <w:t>Design: Cross-sectional mediation   ·   Data: Wave I   ·   Verification: Abstract/DB</w:t>
      </w:r>
    </w:p>
    <w:p>
      <w:r>
        <w:rPr>
          <w:rFonts w:ascii="Consolas" w:hAnsi="Consolas"/>
          <w:b/>
          <w:color w:val="28405C"/>
          <w:sz w:val="18"/>
        </w:rPr>
        <w:t xml:space="preserve">AH-012  </w:t>
      </w:r>
      <w:r>
        <w:rPr>
          <w:sz w:val="19"/>
        </w:rPr>
        <w:t>Christopher C. Henrich, Kathryn A. Brookmeyer, Golan Shahar (2005). Weapon violence in adolescence: Parent and school connectedness as protective factors. Journal of Adolescent Health. https://doi.org/10.1016/j.jadohealth.2005.03.022</w:t>
      </w:r>
    </w:p>
    <w:p>
      <w:pPr>
        <w:ind w:left="360"/>
      </w:pPr>
      <w:r>
        <w:rPr>
          <w:color w:val="48526A"/>
          <w:sz w:val="19"/>
        </w:rPr>
        <w:t>Parent connectedness reduced committing weapon violence and school connectedness reduced exposure, but neither buffered the effects of exposure.</w:t>
      </w:r>
    </w:p>
    <w:p>
      <w:pPr>
        <w:spacing w:after="160"/>
        <w:ind w:left="360"/>
      </w:pPr>
      <w:r>
        <w:rPr>
          <w:rFonts w:ascii="Consolas" w:hAnsi="Consolas"/>
          <w:color w:val="7C879B"/>
          <w:sz w:val="16"/>
        </w:rPr>
        <w:t>Design: 2-wave prospective   ·   Data: Waves I–II (N=7,033)   ·   Verification: Abstract/DB</w:t>
      </w:r>
    </w:p>
    <w:p>
      <w:r>
        <w:rPr>
          <w:rFonts w:ascii="Consolas" w:hAnsi="Consolas"/>
          <w:b/>
          <w:color w:val="28405C"/>
          <w:sz w:val="18"/>
        </w:rPr>
        <w:t xml:space="preserve">AH-016  </w:t>
      </w:r>
      <w:r>
        <w:rPr>
          <w:sz w:val="19"/>
        </w:rPr>
        <w:t>Kathryn A. Brookmeyer, Kostas A. Fanti, Christopher C. Henrich (2006). Schools, Parents, and Youth Violence: A Multilevel, Ecological Analysis. Journal of Clinical Child &amp; Adolescent Psychology. https://doi.org/10.1207/s15374424jccp3504_2</w:t>
      </w:r>
    </w:p>
    <w:p>
      <w:pPr>
        <w:ind w:left="360"/>
      </w:pPr>
      <w:r>
        <w:rPr>
          <w:color w:val="48526A"/>
          <w:sz w:val="19"/>
        </w:rPr>
        <w:t>School connectedness reduced violent behavior over time; school climate was protective at the school level.</w:t>
      </w:r>
    </w:p>
    <w:p>
      <w:pPr>
        <w:spacing w:after="160"/>
        <w:ind w:left="360"/>
      </w:pPr>
      <w:r>
        <w:rPr>
          <w:rFonts w:ascii="Consolas" w:hAnsi="Consolas"/>
          <w:color w:val="7C879B"/>
          <w:sz w:val="16"/>
        </w:rPr>
        <w:t>Design: Multilevel HLM   ·   Data: 2 waves (N=6,397; 125 schools)   ·   Verification: Abstract/DB</w:t>
      </w:r>
    </w:p>
    <w:p>
      <w:r>
        <w:rPr>
          <w:rFonts w:ascii="Consolas" w:hAnsi="Consolas"/>
          <w:b/>
          <w:color w:val="28405C"/>
          <w:sz w:val="18"/>
        </w:rPr>
        <w:t xml:space="preserve">AH-019  </w:t>
      </w:r>
      <w:r>
        <w:rPr>
          <w:sz w:val="19"/>
        </w:rPr>
        <w:t>Mario J. Aceves, Jeffrey T. Cookston (2006). Violent Victimization, Aggression, and Parent-Adolescent Relations: Quality Parenting as a Buffer for Violently Victimized Youth. Journal of Youth and Adolescence. https://doi.org/10.1007/s10964-006-9131-9</w:t>
      </w:r>
    </w:p>
    <w:p>
      <w:pPr>
        <w:ind w:left="360"/>
      </w:pPr>
      <w:r>
        <w:rPr>
          <w:color w:val="48526A"/>
          <w:sz w:val="19"/>
        </w:rPr>
        <w:t>Victimization predicted onset of aggression, buffered by high-quality parent–adolescent relations (significant for boys only).</w:t>
      </w:r>
    </w:p>
    <w:p>
      <w:pPr>
        <w:spacing w:after="160"/>
        <w:ind w:left="360"/>
      </w:pPr>
      <w:r>
        <w:rPr>
          <w:rFonts w:ascii="Consolas" w:hAnsi="Consolas"/>
          <w:color w:val="7C879B"/>
          <w:sz w:val="16"/>
        </w:rPr>
        <w:t>Design: 2-wave prospective   ·   Data: Waves 1–2 (N=6,504)   ·   Verification: Abstract/DB</w:t>
      </w:r>
    </w:p>
    <w:p>
      <w:r>
        <w:rPr>
          <w:rFonts w:ascii="Consolas" w:hAnsi="Consolas"/>
          <w:b/>
          <w:color w:val="28405C"/>
          <w:sz w:val="18"/>
        </w:rPr>
        <w:t xml:space="preserve">AH-028  </w:t>
      </w:r>
      <w:r>
        <w:rPr>
          <w:sz w:val="19"/>
        </w:rPr>
        <w:t>Richard J. Petts, Anne Jolliff (2008). Religion and adolescent depression: The impact of race and gender. Review of Religious Research</w:t>
      </w:r>
    </w:p>
    <w:p>
      <w:pPr>
        <w:ind w:left="360"/>
      </w:pPr>
      <w:r>
        <w:rPr>
          <w:color w:val="48526A"/>
          <w:sz w:val="19"/>
        </w:rPr>
        <w:t>Religion’s protective effect on depression varied by race and gender; some Asian/Latino adolescents showed higher depressive symptoms at high participation.</w:t>
      </w:r>
    </w:p>
    <w:p>
      <w:pPr>
        <w:spacing w:after="160"/>
        <w:ind w:left="360"/>
      </w:pPr>
      <w:r>
        <w:rPr>
          <w:rFonts w:ascii="Consolas" w:hAnsi="Consolas"/>
          <w:color w:val="7C879B"/>
          <w:sz w:val="16"/>
        </w:rPr>
        <w:t>Design: Cross-sectional moderation   ·   Data: Wave I   ·   Verification: Abstract/DB</w:t>
      </w:r>
    </w:p>
    <w:p>
      <w:r>
        <w:rPr>
          <w:rFonts w:ascii="Consolas" w:hAnsi="Consolas"/>
          <w:b/>
          <w:color w:val="28405C"/>
          <w:sz w:val="18"/>
        </w:rPr>
        <w:t xml:space="preserve">AH-083  </w:t>
      </w:r>
      <w:r>
        <w:rPr>
          <w:sz w:val="19"/>
        </w:rPr>
        <w:t>Jane Cooley Fruehwirth, Sriya Iyer, Anwen Zhang (2019). Religion and Depression in Adolescence. Journal of Political Economy. https://doi.org/10.1086/701425</w:t>
      </w:r>
    </w:p>
    <w:p>
      <w:pPr>
        <w:ind w:left="360"/>
      </w:pPr>
      <w:r>
        <w:rPr>
          <w:color w:val="48526A"/>
          <w:sz w:val="19"/>
        </w:rPr>
        <w:t>Religiosity robustly reduced depression, with the strongest effects among the most depressed adolescents.</w:t>
      </w:r>
    </w:p>
    <w:p>
      <w:pPr>
        <w:spacing w:after="160"/>
        <w:ind w:left="360"/>
      </w:pPr>
      <w:r>
        <w:rPr>
          <w:rFonts w:ascii="Consolas" w:hAnsi="Consolas"/>
          <w:color w:val="7C879B"/>
          <w:sz w:val="16"/>
        </w:rPr>
        <w:t>Design: Instrumental variables (peer religiosity)   ·   Data: Add Health (high-school years)   ·   Verification: Abstract/DB</w:t>
      </w:r>
    </w:p>
    <w:p>
      <w:pPr>
        <w:pStyle w:val="Heading2"/>
      </w:pPr>
      <w:r>
        <w:t>Measurement (CES-D) &amp; causal-inference methods</w:t>
      </w:r>
    </w:p>
    <w:p>
      <w:r>
        <w:rPr>
          <w:rFonts w:ascii="Consolas" w:hAnsi="Consolas"/>
          <w:b/>
          <w:color w:val="28405C"/>
          <w:sz w:val="18"/>
        </w:rPr>
        <w:t xml:space="preserve">AH-013  </w:t>
      </w:r>
      <w:r>
        <w:rPr>
          <w:sz w:val="19"/>
        </w:rPr>
        <w:t>Krista M. Perreira, Natalia Deeb-Sossa, Kathleen Mullan Harris, Kenneth A. Bollen (2005). What Are We Measuring? An Evaluation of the CES-D Across Race/Ethnicity and Immigrant Generation. Social Forces. https://doi.org/10.1353/sof.2005.0077</w:t>
      </w:r>
    </w:p>
    <w:p>
      <w:pPr>
        <w:ind w:left="360"/>
      </w:pPr>
      <w:r>
        <w:rPr>
          <w:color w:val="48526A"/>
          <w:sz w:val="19"/>
        </w:rPr>
        <w:t>The CES-D functions differently across race/ethnicity and immigrant generation; correcting for this improves cross-group depression comparisons.</w:t>
      </w:r>
    </w:p>
    <w:p>
      <w:pPr>
        <w:spacing w:after="160"/>
        <w:ind w:left="360"/>
      </w:pPr>
      <w:r>
        <w:rPr>
          <w:rFonts w:ascii="Consolas" w:hAnsi="Consolas"/>
          <w:color w:val="7C879B"/>
          <w:sz w:val="16"/>
        </w:rPr>
        <w:t>Design: CES-D psychometric evaluation   ·   Data: Wave I   ·   Verification: Abstract/DB</w:t>
      </w:r>
    </w:p>
    <w:p>
      <w:r>
        <w:rPr>
          <w:rFonts w:ascii="Consolas" w:hAnsi="Consolas"/>
          <w:b/>
          <w:color w:val="28405C"/>
          <w:sz w:val="18"/>
        </w:rPr>
        <w:t xml:space="preserve">AH-071  </w:t>
      </w:r>
      <w:r>
        <w:rPr>
          <w:sz w:val="19"/>
        </w:rPr>
        <w:t>Melissa L. Harry, Thomas M. Crea (2018). Examining the measurement invariance of a modified CES-D for American Indian and non-Hispanic White adolescents and young adults.. Psychological Assessment. https://doi.org/10.1037/pas0000553</w:t>
      </w:r>
    </w:p>
    <w:p>
      <w:pPr>
        <w:ind w:left="360"/>
      </w:pPr>
      <w:r>
        <w:rPr>
          <w:color w:val="48526A"/>
          <w:sz w:val="19"/>
        </w:rPr>
        <w:t>Add Health CES-D scales showed partial measurement-invariance problems between American Indian and non-Hispanic White youth.</w:t>
      </w:r>
    </w:p>
    <w:p>
      <w:pPr>
        <w:spacing w:after="160"/>
        <w:ind w:left="360"/>
      </w:pPr>
      <w:r>
        <w:rPr>
          <w:rFonts w:ascii="Consolas" w:hAnsi="Consolas"/>
          <w:color w:val="7C879B"/>
          <w:sz w:val="16"/>
        </w:rPr>
        <w:t>Design: Measurement invariance   ·   Data: Waves 1 &amp; 4   ·   Verification: Abstract/DB</w:t>
      </w:r>
    </w:p>
    <w:p>
      <w:r>
        <w:rPr>
          <w:rFonts w:ascii="Consolas" w:hAnsi="Consolas"/>
          <w:b/>
          <w:color w:val="28405C"/>
          <w:sz w:val="18"/>
        </w:rPr>
        <w:t xml:space="preserve">AH-110  </w:t>
      </w:r>
      <w:r>
        <w:rPr>
          <w:sz w:val="19"/>
        </w:rPr>
        <w:t>Mateo Dulce Rubio, Edward H. Kennedy, Valerio Baćak, Daniel S. Nagin (2025). Effects of adolescent victimization on offending: Flexible methods for missing data and unmeasured confounding. The Annals of Applied Statistics. https://doi.org/10.1214/24-aoas2005</w:t>
      </w:r>
    </w:p>
    <w:p>
      <w:pPr>
        <w:ind w:left="360"/>
      </w:pPr>
      <w:r>
        <w:rPr>
          <w:color w:val="48526A"/>
          <w:sz w:val="19"/>
        </w:rPr>
        <w:t>Estimated effects of victimization on offending were concentrated in nonviolent offending and were sensitive to unmeasured-confounding assumptions.</w:t>
      </w:r>
    </w:p>
    <w:p>
      <w:pPr>
        <w:spacing w:after="160"/>
        <w:ind w:left="360"/>
      </w:pPr>
      <w:r>
        <w:rPr>
          <w:rFonts w:ascii="Consolas" w:hAnsi="Consolas"/>
          <w:color w:val="7C879B"/>
          <w:sz w:val="16"/>
        </w:rPr>
        <w:t>Design: Doubly-robust causal + sensitivity   ·   Data: Waves II–III   ·   Verification: Full text</w:t>
      </w:r>
    </w:p>
    <w:p>
      <w:r>
        <w:rPr>
          <w:rFonts w:ascii="Consolas" w:hAnsi="Consolas"/>
          <w:b/>
          <w:color w:val="28405C"/>
          <w:sz w:val="18"/>
        </w:rPr>
        <w:t xml:space="preserve">AH-114  </w:t>
      </w:r>
      <w:r>
        <w:rPr>
          <w:sz w:val="19"/>
        </w:rPr>
        <w:t>Alexis C. Dennis (2025). What are we modeling? An evaluation of depressive symptom trajectory models from adolescence to early midlife in the Add Health cohort. Social Science Research. https://doi.org/10.1016/j.ssresearch.2025.103176</w:t>
      </w:r>
    </w:p>
    <w:p>
      <w:pPr>
        <w:ind w:left="360"/>
      </w:pPr>
      <w:r>
        <w:rPr>
          <w:color w:val="48526A"/>
          <w:sz w:val="19"/>
        </w:rPr>
        <w:t>Modeling choices for depressive-symptom trajectories materially affect conclusions about racial disparities.</w:t>
      </w:r>
    </w:p>
    <w:p>
      <w:pPr>
        <w:spacing w:after="160"/>
        <w:ind w:left="360"/>
      </w:pPr>
      <w:r>
        <w:rPr>
          <w:rFonts w:ascii="Consolas" w:hAnsi="Consolas"/>
          <w:color w:val="7C879B"/>
          <w:sz w:val="16"/>
        </w:rPr>
        <w:t>Design: Trajectory-model evaluation   ·   Data: Add Health cohort   ·   Verification: Abstract/DB</w:t>
      </w:r>
    </w:p>
    <w:p>
      <w:pPr>
        <w:pStyle w:val="Heading2"/>
      </w:pPr>
      <w:r>
        <w:t>Biomarkers &amp; biological embedding</w:t>
      </w:r>
    </w:p>
    <w:p>
      <w:r>
        <w:rPr>
          <w:rFonts w:ascii="Consolas" w:hAnsi="Consolas"/>
          <w:b/>
          <w:color w:val="28405C"/>
          <w:sz w:val="18"/>
        </w:rPr>
        <w:t xml:space="preserve">AH-084  </w:t>
      </w:r>
      <w:r>
        <w:rPr>
          <w:sz w:val="19"/>
        </w:rPr>
        <w:t>Courtney E. Boen (2020). Criminal Justice Contacts and Psychophysiological Functioning in Early Adulthood: Health Inequality in the Carceral State. Journal of Health and Social Behavior. https://doi.org/10.1177/0022146520936208</w:t>
      </w:r>
    </w:p>
    <w:p>
      <w:pPr>
        <w:ind w:left="360"/>
      </w:pPr>
      <w:r>
        <w:rPr>
          <w:color w:val="48526A"/>
          <w:sz w:val="19"/>
        </w:rPr>
        <w:t>Incarceration was associated with higher C-reactive protein and depressive risk — especially for long durations — contributing to Black–White health gaps.</w:t>
      </w:r>
    </w:p>
    <w:p>
      <w:pPr>
        <w:spacing w:after="160"/>
        <w:ind w:left="360"/>
      </w:pPr>
      <w:r>
        <w:rPr>
          <w:rFonts w:ascii="Consolas" w:hAnsi="Consolas"/>
          <w:color w:val="7C879B"/>
          <w:sz w:val="16"/>
        </w:rPr>
        <w:t>Design: Quasi-treatment / weighting   ·   Data: Wave IV CRP (N=5,488)   ·   Verification: Abstract/DB</w:t>
      </w:r>
    </w:p>
    <w:p>
      <w:r>
        <w:rPr>
          <w:rFonts w:ascii="Consolas" w:hAnsi="Consolas"/>
          <w:b/>
          <w:color w:val="28405C"/>
          <w:sz w:val="18"/>
        </w:rPr>
        <w:t xml:space="preserve">AH-087  </w:t>
      </w:r>
      <w:r>
        <w:rPr>
          <w:sz w:val="19"/>
        </w:rPr>
        <w:t>Joseph A. Schwartz, Jukka Savolainen, Douglas A. Granger, Jessica L. Calvi (2020). Is Crime Bad for Your Health? The Link Between Delinquent Offending and Cardiometabolic Risk. Crime &amp; Delinquency. https://doi.org/10.1177/0011128720903048</w:t>
      </w:r>
    </w:p>
    <w:p>
      <w:pPr>
        <w:ind w:left="360"/>
      </w:pPr>
      <w:r>
        <w:rPr>
          <w:color w:val="48526A"/>
          <w:sz w:val="19"/>
        </w:rPr>
        <w:t>Life-course criminal offending was linked to higher cardiometabolic risk.</w:t>
      </w:r>
    </w:p>
    <w:p>
      <w:pPr>
        <w:spacing w:after="160"/>
        <w:ind w:left="360"/>
      </w:pPr>
      <w:r>
        <w:rPr>
          <w:rFonts w:ascii="Consolas" w:hAnsi="Consolas"/>
          <w:color w:val="7C879B"/>
          <w:sz w:val="16"/>
        </w:rPr>
        <w:t>Design: Dual-trajectory   ·   Data: Add Health (biomarkers)   ·   Verification: Abstract/DB</w:t>
      </w:r>
    </w:p>
    <w:p>
      <w:r>
        <w:rPr>
          <w:rFonts w:ascii="Consolas" w:hAnsi="Consolas"/>
          <w:b/>
          <w:color w:val="28405C"/>
          <w:sz w:val="18"/>
        </w:rPr>
        <w:t xml:space="preserve">AH-088  </w:t>
      </w:r>
      <w:r>
        <w:rPr>
          <w:sz w:val="19"/>
        </w:rPr>
        <w:t>Steven W. Cole, Michael J. Shanahan, Lauren Gaydosh, Kathleen Mullan Harris (2020). Population-based RNA profiling in Add Health finds social disparities in inflammatory and antiviral gene regulation to emerge by young adulthood. Proceedings of the National Academy of Sciences. https://doi.org/10.1073/pnas.1821367117</w:t>
      </w:r>
    </w:p>
    <w:p>
      <w:pPr>
        <w:ind w:left="360"/>
      </w:pPr>
      <w:r>
        <w:rPr>
          <w:color w:val="48526A"/>
          <w:sz w:val="19"/>
        </w:rPr>
        <w:t>Social disparities in inflammatory and antiviral gene regulation emerged by young adulthood, well before late-life chronic illness.</w:t>
      </w:r>
    </w:p>
    <w:p>
      <w:pPr>
        <w:spacing w:after="160"/>
        <w:ind w:left="360"/>
      </w:pPr>
      <w:r>
        <w:rPr>
          <w:rFonts w:ascii="Consolas" w:hAnsi="Consolas"/>
          <w:color w:val="7C879B"/>
          <w:sz w:val="16"/>
        </w:rPr>
        <w:t>Design: Population RNA transcriptome   ·   Data: Wave V   ·   Verification: Abstract/DB</w:t>
      </w:r>
    </w:p>
    <w:p>
      <w:r>
        <w:rPr>
          <w:rFonts w:ascii="Consolas" w:hAnsi="Consolas"/>
          <w:b/>
          <w:color w:val="28405C"/>
          <w:sz w:val="18"/>
        </w:rPr>
        <w:t xml:space="preserve">AH-089  </w:t>
      </w:r>
      <w:r>
        <w:rPr>
          <w:sz w:val="19"/>
        </w:rPr>
        <w:t>Taylor W. Hargrove, Courtney Boen, Lauren Gaydosh, Kathleen Mullan Harris (2020). Race/Ethnicity, Gender, and Trajectories of Depressive Symptoms Across Early- and Mid-Life Among the Add Health Cohort. Journal of Racial and Ethnic Health Disparities. https://doi.org/10.1007/s40615-019-00692-8</w:t>
      </w:r>
    </w:p>
    <w:p>
      <w:pPr>
        <w:ind w:left="360"/>
      </w:pPr>
      <w:r>
        <w:rPr>
          <w:color w:val="48526A"/>
          <w:sz w:val="19"/>
        </w:rPr>
        <w:t>Black–White disparities in inflammation were consistent with a weathering process across the life course.</w:t>
      </w:r>
    </w:p>
    <w:p>
      <w:pPr>
        <w:spacing w:after="160"/>
        <w:ind w:left="360"/>
      </w:pPr>
      <w:r>
        <w:rPr>
          <w:rFonts w:ascii="Consolas" w:hAnsi="Consolas"/>
          <w:color w:val="7C879B"/>
          <w:sz w:val="16"/>
        </w:rPr>
        <w:t>Design: Life-course biomarker   ·   Data: Wave IV/V   ·   Verification: Abstract/DB</w:t>
      </w:r>
    </w:p>
    <w:p>
      <w:r>
        <w:rPr>
          <w:rFonts w:ascii="Consolas" w:hAnsi="Consolas"/>
          <w:b/>
          <w:color w:val="28405C"/>
          <w:sz w:val="18"/>
        </w:rPr>
        <w:t xml:space="preserve">AH-100  </w:t>
      </w:r>
      <w:r>
        <w:rPr>
          <w:sz w:val="19"/>
        </w:rPr>
        <w:t>Nicholas Graetz, Courtney Boen, Michael Esposito (2022). Structural Racism and Quantitative Causal Inference: A Life Course Mediation Framework for Decomposing Racial Health Disparities. Journal of Health and Social Behavior. https://doi.org/10.1177/00221465211066108</w:t>
      </w:r>
    </w:p>
    <w:p>
      <w:pPr>
        <w:ind w:left="360"/>
      </w:pPr>
      <w:r>
        <w:rPr>
          <w:color w:val="48526A"/>
          <w:sz w:val="19"/>
        </w:rPr>
        <w:t>Introduced a structural-racism decomposition of racial disparities in cardiometabolic risk.</w:t>
      </w:r>
    </w:p>
    <w:p>
      <w:pPr>
        <w:spacing w:after="160"/>
        <w:ind w:left="360"/>
      </w:pPr>
      <w:r>
        <w:rPr>
          <w:rFonts w:ascii="Consolas" w:hAnsi="Consolas"/>
          <w:color w:val="7C879B"/>
          <w:sz w:val="16"/>
        </w:rPr>
        <w:t>Design: Life-course causal mediation   ·   Data: Add Health (biomarkers)   ·   Verification: Abstract/DB</w:t>
      </w:r>
    </w:p>
    <w:p>
      <w:r>
        <w:rPr>
          <w:rFonts w:ascii="Consolas" w:hAnsi="Consolas"/>
          <w:b/>
          <w:color w:val="28405C"/>
          <w:sz w:val="18"/>
        </w:rPr>
        <w:t xml:space="preserve">AH-107  </w:t>
      </w:r>
      <w:r>
        <w:rPr>
          <w:sz w:val="19"/>
        </w:rPr>
        <w:t>Stephanie M. Koning, Jacob Aronoff, Shanting Chen, Taylor Hargrove, Jessica Polos, Thomas W. McDade (2024). Violence victimisation and young adult cardiometabolic health: the role of timing and social identity. Annals of Human Biology. https://doi.org/10.1080/03014460.2024.2390834</w:t>
      </w:r>
    </w:p>
    <w:p>
      <w:pPr>
        <w:ind w:left="360"/>
      </w:pPr>
      <w:r>
        <w:rPr>
          <w:color w:val="48526A"/>
          <w:sz w:val="19"/>
        </w:rPr>
        <w:t>Adolescent violence victimization predicted adult cardiometabolic risk, with the effect depending on timing and social identity.</w:t>
      </w:r>
    </w:p>
    <w:p>
      <w:pPr>
        <w:spacing w:after="160"/>
        <w:ind w:left="360"/>
      </w:pPr>
      <w:r>
        <w:rPr>
          <w:rFonts w:ascii="Consolas" w:hAnsi="Consolas"/>
          <w:color w:val="7C879B"/>
          <w:sz w:val="16"/>
        </w:rPr>
        <w:t>Design: Timing analysis   ·   Data: Waves I–IV   ·   Verification: Abstract/DB</w:t>
      </w:r>
    </w:p>
    <w:p>
      <w:pPr>
        <w:pStyle w:val="Heading2"/>
      </w:pPr>
      <w:r>
        <w:t>Depression / mental health as predictor of later behavior</w:t>
      </w:r>
    </w:p>
    <w:p>
      <w:r>
        <w:rPr>
          <w:rFonts w:ascii="Consolas" w:hAnsi="Consolas"/>
          <w:b/>
          <w:color w:val="28405C"/>
          <w:sz w:val="18"/>
        </w:rPr>
        <w:t xml:space="preserve">AH-056  </w:t>
      </w:r>
      <w:r>
        <w:rPr>
          <w:sz w:val="19"/>
        </w:rPr>
        <w:t>D. Mark Anderson, Resul Cesur, Erdal Tekin (2015). Youth Depression and Future Criminal Behavior. Economic Inquiry. https://doi.org/10.1111/ecin.12176</w:t>
      </w:r>
    </w:p>
    <w:p>
      <w:pPr>
        <w:ind w:left="360"/>
      </w:pPr>
      <w:r>
        <w:rPr>
          <w:color w:val="48526A"/>
          <w:sz w:val="19"/>
        </w:rPr>
        <w:t>Adolescent depression predicted some later criminal behavior, but robust effects were concentrated in specific outcomes rather than a broad depression→violence link.</w:t>
      </w:r>
    </w:p>
    <w:p>
      <w:pPr>
        <w:spacing w:after="160"/>
        <w:ind w:left="360"/>
      </w:pPr>
      <w:r>
        <w:rPr>
          <w:rFonts w:ascii="Consolas" w:hAnsi="Consolas"/>
          <w:color w:val="7C879B"/>
          <w:sz w:val="16"/>
        </w:rPr>
        <w:t>Design: School &amp; sibling fixed effects   ·   Data: Waves I &amp; IV   ·   Verification: Full text</w:t>
      </w:r>
    </w:p>
    <w:p>
      <w:pPr>
        <w:pStyle w:val="Heading2"/>
      </w:pPr>
      <w:r>
        <w:t>Prediction &amp; machine learning</w:t>
      </w:r>
    </w:p>
    <w:p>
      <w:r>
        <w:rPr>
          <w:rFonts w:ascii="Consolas" w:hAnsi="Consolas"/>
          <w:b/>
          <w:color w:val="28405C"/>
          <w:sz w:val="18"/>
        </w:rPr>
        <w:t xml:space="preserve">AH-027  </w:t>
      </w:r>
      <w:r>
        <w:rPr>
          <w:sz w:val="19"/>
        </w:rPr>
        <w:t>Benjamin W. Van Voorhees, Dale B. Fogel, C. Hendricks Brown, John P. Royce, Carl Bell, John F. Barron, Kym L. Ford, Elizabeth D. Waitzkin, Frances MacLean, Steve Houston Miller (2008). Predicting Future Risk of Depressive Episode in Adolescents: The Chicago Adolescent Depression Risk Assessment (CADRA). Annals of Family Medicine. https://doi.org/10.1370/afm.887</w:t>
      </w:r>
    </w:p>
    <w:p>
      <w:pPr>
        <w:ind w:left="360"/>
      </w:pPr>
      <w:r>
        <w:rPr>
          <w:color w:val="48526A"/>
          <w:sz w:val="19"/>
        </w:rPr>
        <w:t>Baseline social/cognitive vulnerability and mood predicted 1-year onset of depressive episodes (CADRA risk model) — an early Add Health prediction study.</w:t>
      </w:r>
    </w:p>
    <w:p>
      <w:pPr>
        <w:spacing w:after="160"/>
        <w:ind w:left="360"/>
      </w:pPr>
      <w:r>
        <w:rPr>
          <w:rFonts w:ascii="Consolas" w:hAnsi="Consolas"/>
          <w:color w:val="7C879B"/>
          <w:sz w:val="16"/>
        </w:rPr>
        <w:t>Design: Prospective prediction   ·   Data: Waves I–II (N=4,791)   ·   Verification: Abstract/DB</w:t>
      </w:r>
    </w:p>
    <w:p>
      <w:r>
        <w:rPr>
          <w:rFonts w:ascii="Consolas" w:hAnsi="Consolas"/>
          <w:b/>
          <w:color w:val="28405C"/>
          <w:sz w:val="18"/>
        </w:rPr>
        <w:t xml:space="preserve">AH-115  </w:t>
      </w:r>
      <w:r>
        <w:rPr>
          <w:sz w:val="19"/>
        </w:rPr>
        <w:t>Rafael Geurgas, Saul J. Newman, Evelina T. Akimova, Katherine N. Thompson, Robbee Wedow (2025). What machine learning teaches us about depression prediction across the life course: An exploratory comparison of predictive models. SSM - Population Health. https://doi.org/10.1016/j.ssmph.2025.101886</w:t>
      </w:r>
    </w:p>
    <w:p>
      <w:pPr>
        <w:ind w:left="360"/>
      </w:pPr>
      <w:r>
        <w:rPr>
          <w:color w:val="48526A"/>
          <w:sz w:val="19"/>
        </w:rPr>
        <w:t>Compared machine-learning models for life-course depression prediction; emphasized interpretability and leakage/validation caveats.</w:t>
      </w:r>
    </w:p>
    <w:p>
      <w:pPr>
        <w:spacing w:after="160"/>
        <w:ind w:left="360"/>
      </w:pPr>
      <w:r>
        <w:rPr>
          <w:rFonts w:ascii="Consolas" w:hAnsi="Consolas"/>
          <w:color w:val="7C879B"/>
          <w:sz w:val="16"/>
        </w:rPr>
        <w:t>Design: Predictive model comparison (ML)   ·   Data: Longitudinal   ·   Verification: Abstract/DB</w:t>
      </w:r>
    </w:p>
    <w:p>
      <w:r>
        <w:rPr>
          <w:rFonts w:ascii="Consolas" w:hAnsi="Consolas"/>
          <w:b/>
          <w:color w:val="28405C"/>
          <w:sz w:val="18"/>
        </w:rPr>
        <w:t xml:space="preserve">AH-116  </w:t>
      </w:r>
      <w:r>
        <w:rPr>
          <w:sz w:val="19"/>
        </w:rPr>
        <w:t>Niloofar Ramezani, Ehiremen Adesua Azugbene, Jeffrey R. Wilson (2026). A staged Bayesian framework for longitudinal prediction of adolescent depression using add health data. BMC Medical Research Methodology. https://doi.org/10.1186/s12874-026-02890-5</w:t>
      </w:r>
    </w:p>
    <w:p>
      <w:pPr>
        <w:ind w:left="360"/>
      </w:pPr>
      <w:r>
        <w:rPr>
          <w:color w:val="48526A"/>
          <w:sz w:val="19"/>
        </w:rPr>
        <w:t>Introduced a staged Bayesian framework for longitudinal prediction of adolescent depression using Add Health.</w:t>
      </w:r>
    </w:p>
    <w:p>
      <w:pPr>
        <w:spacing w:after="160"/>
        <w:ind w:left="360"/>
      </w:pPr>
      <w:r>
        <w:rPr>
          <w:rFonts w:ascii="Consolas" w:hAnsi="Consolas"/>
          <w:color w:val="7C879B"/>
          <w:sz w:val="16"/>
        </w:rPr>
        <w:t>Design: Staged Bayesian prediction   ·   Data: Longitudinal   ·   Verification: Abstract/DB</w:t>
      </w:r>
    </w:p>
    <w:p>
      <w:pPr>
        <w:pStyle w:val="Heading2"/>
      </w:pPr>
      <w:r>
        <w:t>Other Add Health victimization, IPV &amp; health studies</w:t>
      </w:r>
    </w:p>
    <w:p>
      <w:r>
        <w:rPr>
          <w:rFonts w:ascii="Consolas" w:hAnsi="Consolas"/>
          <w:b/>
          <w:color w:val="28405C"/>
          <w:sz w:val="18"/>
        </w:rPr>
        <w:t xml:space="preserve">AH-006  </w:t>
      </w:r>
      <w:r>
        <w:rPr>
          <w:sz w:val="19"/>
        </w:rPr>
        <w:t>Christopher J. Schreck, Bonnie S. Fisher (2004). Specifying the Influence of Family and Peers on Violent Victimization. Journal of Interpersonal Violence. https://doi.org/10.1177/0886260504268002</w:t>
      </w:r>
    </w:p>
    <w:p>
      <w:pPr>
        <w:ind w:left="360"/>
      </w:pPr>
      <w:r>
        <w:rPr>
          <w:color w:val="48526A"/>
          <w:sz w:val="19"/>
        </w:rPr>
        <w:t>Strong family attachment lowered violent-victimization risk; exposure to delinquent peers raised it.</w:t>
      </w:r>
    </w:p>
    <w:p>
      <w:pPr>
        <w:spacing w:after="160"/>
        <w:ind w:left="360"/>
      </w:pPr>
      <w:r>
        <w:rPr>
          <w:rFonts w:ascii="Consolas" w:hAnsi="Consolas"/>
          <w:color w:val="7C879B"/>
          <w:sz w:val="16"/>
        </w:rPr>
        <w:t>Design: Cross-sectional   ·   Data: Wave I (N=3,567)   ·   Verification: Abstract/DB</w:t>
      </w:r>
    </w:p>
    <w:p>
      <w:r>
        <w:rPr>
          <w:rFonts w:ascii="Consolas" w:hAnsi="Consolas"/>
          <w:b/>
          <w:color w:val="28405C"/>
          <w:sz w:val="18"/>
        </w:rPr>
        <w:t xml:space="preserve">AH-007  </w:t>
      </w:r>
      <w:r>
        <w:rPr>
          <w:sz w:val="19"/>
        </w:rPr>
        <w:t>Christopher J. Schreck, Bonnie S. Fisher, J. Mitchell Miller (2004). The social context of violent victimization: A study of the delinquent peer effect. Justice Quarterly. https://doi.org/10.1080/07418820400095731</w:t>
      </w:r>
    </w:p>
    <w:p>
      <w:pPr>
        <w:ind w:left="360"/>
      </w:pPr>
      <w:r>
        <w:rPr>
          <w:color w:val="48526A"/>
          <w:sz w:val="19"/>
        </w:rPr>
        <w:t>Central/popular members of dense conventional friendship groups were less victimized; the opposite held for delinquent networks.</w:t>
      </w:r>
    </w:p>
    <w:p>
      <w:pPr>
        <w:spacing w:after="160"/>
        <w:ind w:left="360"/>
      </w:pPr>
      <w:r>
        <w:rPr>
          <w:rFonts w:ascii="Consolas" w:hAnsi="Consolas"/>
          <w:color w:val="7C879B"/>
          <w:sz w:val="16"/>
        </w:rPr>
        <w:t>Design: Cross-sectional network analysis   ·   Data: Wave I (N=3,567)   ·   Verification: Abstract/DB</w:t>
      </w:r>
    </w:p>
    <w:p>
      <w:r>
        <w:rPr>
          <w:rFonts w:ascii="Consolas" w:hAnsi="Consolas"/>
          <w:b/>
          <w:color w:val="28405C"/>
          <w:sz w:val="18"/>
        </w:rPr>
        <w:t xml:space="preserve">AH-015  </w:t>
      </w:r>
      <w:r>
        <w:rPr>
          <w:sz w:val="19"/>
        </w:rPr>
        <w:t>Dana L. Haynie, Alex R. Piquero (2006). Pubertal Development and Physical Victimization in Adolescence. Journal of Research in Crime and Delinquency. https://doi.org/10.1177/0022427805280069</w:t>
      </w:r>
    </w:p>
    <w:p>
      <w:pPr>
        <w:ind w:left="360"/>
      </w:pPr>
      <w:r>
        <w:rPr>
          <w:color w:val="48526A"/>
          <w:sz w:val="19"/>
        </w:rPr>
        <w:t>Pubertal development was associated with violent victimization, more strongly for girls.</w:t>
      </w:r>
    </w:p>
    <w:p>
      <w:pPr>
        <w:spacing w:after="160"/>
        <w:ind w:left="360"/>
      </w:pPr>
      <w:r>
        <w:rPr>
          <w:rFonts w:ascii="Consolas" w:hAnsi="Consolas"/>
          <w:color w:val="7C879B"/>
          <w:sz w:val="16"/>
        </w:rPr>
        <w:t>Design: Longitudinal   ·   Data: Wave I–II (N=6,947)   ·   Verification: Abstract/DB</w:t>
      </w:r>
    </w:p>
    <w:p>
      <w:r>
        <w:rPr>
          <w:rFonts w:ascii="Consolas" w:hAnsi="Consolas"/>
          <w:b/>
          <w:color w:val="28405C"/>
          <w:sz w:val="18"/>
        </w:rPr>
        <w:t xml:space="preserve">AH-020  </w:t>
      </w:r>
      <w:r>
        <w:rPr>
          <w:sz w:val="19"/>
        </w:rPr>
        <w:t>Christopher J. Schreck, Melissa W. Burek, Eric A. Stewart, J. Mitchell Miller (2007). Distress and Violent Victimization among Young Adolescents. Journal of Research in Crime and Delinquency. https://doi.org/10.1177/0022427807305851</w:t>
      </w:r>
    </w:p>
    <w:p>
      <w:pPr>
        <w:ind w:left="360"/>
      </w:pPr>
      <w:r>
        <w:rPr>
          <w:color w:val="48526A"/>
          <w:sz w:val="19"/>
        </w:rPr>
        <w:t>Distress increased violent victimization; early puberty operated through distress (social-interactionist account).</w:t>
      </w:r>
    </w:p>
    <w:p>
      <w:pPr>
        <w:spacing w:after="160"/>
        <w:ind w:left="360"/>
      </w:pPr>
      <w:r>
        <w:rPr>
          <w:rFonts w:ascii="Consolas" w:hAnsi="Consolas"/>
          <w:color w:val="7C879B"/>
          <w:sz w:val="16"/>
        </w:rPr>
        <w:t>Design: Longitudinal   ·   Data: Wave I–II   ·   Verification: Abstract/DB</w:t>
      </w:r>
    </w:p>
    <w:p>
      <w:r>
        <w:rPr>
          <w:rFonts w:ascii="Consolas" w:hAnsi="Consolas"/>
          <w:b/>
          <w:color w:val="28405C"/>
          <w:sz w:val="18"/>
        </w:rPr>
        <w:t xml:space="preserve">AH-021  </w:t>
      </w:r>
      <w:r>
        <w:rPr>
          <w:sz w:val="19"/>
        </w:rPr>
        <w:t>Martie P. Thompson, Laney Sims, J. B. Kingree, Michael Windle (2007). Longitudinal Associations Between Problem Alcohol Use and Violent Victimization in a National Sample of Adolescents. Journal of Adolescent Health. https://doi.org/10.1016/j.jadohealth.2007.07.003</w:t>
      </w:r>
    </w:p>
    <w:p>
      <w:pPr>
        <w:ind w:left="360"/>
      </w:pPr>
      <w:r>
        <w:rPr>
          <w:color w:val="48526A"/>
          <w:sz w:val="19"/>
        </w:rPr>
        <w:t>Reciprocal longitudinal associations between problem alcohol use and violent victimization, varying by gender.</w:t>
      </w:r>
    </w:p>
    <w:p>
      <w:pPr>
        <w:spacing w:after="160"/>
        <w:ind w:left="360"/>
      </w:pPr>
      <w:r>
        <w:rPr>
          <w:rFonts w:ascii="Consolas" w:hAnsi="Consolas"/>
          <w:color w:val="7C879B"/>
          <w:sz w:val="16"/>
        </w:rPr>
        <w:t>Design: Prospective longitudinal   ·   Data: Waves I–II   ·   Verification: Abstract/DB</w:t>
      </w:r>
    </w:p>
    <w:p>
      <w:r>
        <w:rPr>
          <w:rFonts w:ascii="Consolas" w:hAnsi="Consolas"/>
          <w:b/>
          <w:color w:val="28405C"/>
          <w:sz w:val="18"/>
        </w:rPr>
        <w:t xml:space="preserve">AH-023  </w:t>
      </w:r>
      <w:r>
        <w:rPr>
          <w:sz w:val="19"/>
        </w:rPr>
        <w:t>Derek A. Kreager (2007). WHEN IT'S GOOD TO BE “BAD”: VIOLENCE AND ADOLESCENT PEER ACCEPTANCE*. Criminology. https://doi.org/10.1111/j.1745-9125.2007.00097.x</w:t>
      </w:r>
    </w:p>
    <w:p>
      <w:pPr>
        <w:ind w:left="360"/>
      </w:pPr>
      <w:r>
        <w:rPr>
          <w:color w:val="48526A"/>
          <w:sz w:val="19"/>
        </w:rPr>
        <w:t>Violence lowered adolescent peer acceptance, whereas associating with delinquent peers raised social status.</w:t>
      </w:r>
    </w:p>
    <w:p>
      <w:pPr>
        <w:spacing w:after="160"/>
        <w:ind w:left="360"/>
      </w:pPr>
      <w:r>
        <w:rPr>
          <w:rFonts w:ascii="Consolas" w:hAnsi="Consolas"/>
          <w:color w:val="7C879B"/>
          <w:sz w:val="16"/>
        </w:rPr>
        <w:t>Design: Cross-sectional network   ·   Data: Wave I   ·   Verification: Abstract/DB</w:t>
      </w:r>
    </w:p>
    <w:p>
      <w:r>
        <w:rPr>
          <w:rFonts w:ascii="Consolas" w:hAnsi="Consolas"/>
          <w:b/>
          <w:color w:val="28405C"/>
          <w:sz w:val="18"/>
        </w:rPr>
        <w:t xml:space="preserve">AH-025  </w:t>
      </w:r>
      <w:r>
        <w:rPr>
          <w:sz w:val="19"/>
        </w:rPr>
        <w:t>Dana L. Haynie, Richard J. Petts, David Maimon, Alex R. Piquero (2008). Exposure to Violence in Adolescence and Precocious Role Exits. Journal of Youth and Adolescence. https://doi.org/10.1007/s10964-008-9343-2</w:t>
      </w:r>
    </w:p>
    <w:p>
      <w:pPr>
        <w:ind w:left="360"/>
      </w:pPr>
      <w:r>
        <w:rPr>
          <w:color w:val="48526A"/>
          <w:sz w:val="19"/>
        </w:rPr>
        <w:t>Exposure to violence in adolescence was associated with precocious role exits.</w:t>
      </w:r>
    </w:p>
    <w:p>
      <w:pPr>
        <w:spacing w:after="160"/>
        <w:ind w:left="360"/>
      </w:pPr>
      <w:r>
        <w:rPr>
          <w:rFonts w:ascii="Consolas" w:hAnsi="Consolas"/>
          <w:color w:val="7C879B"/>
          <w:sz w:val="16"/>
        </w:rPr>
        <w:t>Design: Prospective (3 waves)   ·   Data: Waves 1–3 (N=11,949)   ·   Verification: Abstract/DB</w:t>
      </w:r>
    </w:p>
    <w:p>
      <w:r>
        <w:rPr>
          <w:rFonts w:ascii="Consolas" w:hAnsi="Consolas"/>
          <w:b/>
          <w:color w:val="28405C"/>
          <w:sz w:val="18"/>
        </w:rPr>
        <w:t xml:space="preserve">AH-026  </w:t>
      </w:r>
      <w:r>
        <w:rPr>
          <w:sz w:val="19"/>
        </w:rPr>
        <w:t>Holly Foster, John Hagan, Jeanne Brooks‐Gunn (2008). Growing up Fast: Stress Exposure and Subjective “Weathering” in Emerging Adulthood. Journal of Health and Social Behavior. https://doi.org/10.1177/002214650804900204</w:t>
      </w:r>
    </w:p>
    <w:p>
      <w:pPr>
        <w:ind w:left="360"/>
      </w:pPr>
      <w:r>
        <w:rPr>
          <w:color w:val="48526A"/>
          <w:sz w:val="19"/>
        </w:rPr>
        <w:t>Childhood/adolescent stressors predicted subjective "weathering" and depressive symptoms in emerging adulthood (women).</w:t>
      </w:r>
    </w:p>
    <w:p>
      <w:pPr>
        <w:spacing w:after="160"/>
        <w:ind w:left="360"/>
      </w:pPr>
      <w:r>
        <w:rPr>
          <w:rFonts w:ascii="Consolas" w:hAnsi="Consolas"/>
          <w:color w:val="7C879B"/>
          <w:sz w:val="16"/>
        </w:rPr>
        <w:t>Design: Prospective (3 waves)   ·   Data: Waves I–III   ·   Verification: Abstract/DB</w:t>
      </w:r>
    </w:p>
    <w:p>
      <w:r>
        <w:rPr>
          <w:rFonts w:ascii="Consolas" w:hAnsi="Consolas"/>
          <w:b/>
          <w:color w:val="28405C"/>
          <w:sz w:val="18"/>
        </w:rPr>
        <w:t xml:space="preserve">AH-033  </w:t>
      </w:r>
      <w:r>
        <w:rPr>
          <w:sz w:val="19"/>
        </w:rPr>
        <w:t>Jason M. Fletcher (2009). The effects of intimate partner violence on health in young adulthood in the United States. Social Science &amp; Medicine. https://doi.org/10.1016/j.socscimed.2009.09.030</w:t>
      </w:r>
    </w:p>
    <w:p>
      <w:pPr>
        <w:ind w:left="360"/>
      </w:pPr>
      <w:r>
        <w:rPr>
          <w:color w:val="48526A"/>
          <w:sz w:val="19"/>
        </w:rPr>
        <w:t>After accounting for confounding, IPV–health associations were inflated by up to ~60%, but IPV still affected depressive symptoms, self-rated health, and care use.</w:t>
      </w:r>
    </w:p>
    <w:p>
      <w:pPr>
        <w:spacing w:after="160"/>
        <w:ind w:left="360"/>
      </w:pPr>
      <w:r>
        <w:rPr>
          <w:rFonts w:ascii="Consolas" w:hAnsi="Consolas"/>
          <w:color w:val="7C879B"/>
          <w:sz w:val="16"/>
        </w:rPr>
        <w:t>Design: Confounding-adjusted longitudinal   ·   Data: National sample   ·   Verification: Abstract/DB</w:t>
      </w:r>
    </w:p>
    <w:p>
      <w:r>
        <w:rPr>
          <w:rFonts w:ascii="Consolas" w:hAnsi="Consolas"/>
          <w:b/>
          <w:color w:val="28405C"/>
          <w:sz w:val="18"/>
        </w:rPr>
        <w:t xml:space="preserve">AH-048  </w:t>
      </w:r>
      <w:r>
        <w:rPr>
          <w:sz w:val="19"/>
        </w:rPr>
        <w:t>Jillian J. Turanovic, Michael D. Reisig, Travis C. Pratt (2014). Risky Lifestyles, Low Self-control, and Violent Victimization Across Gendered Pathways to Crime. Journal of Quantitative Criminology. https://doi.org/10.1007/s10940-014-9230-9</w:t>
      </w:r>
    </w:p>
    <w:p>
      <w:pPr>
        <w:ind w:left="360"/>
      </w:pPr>
      <w:r>
        <w:rPr>
          <w:color w:val="48526A"/>
          <w:sz w:val="19"/>
        </w:rPr>
        <w:t>Low self-control and risky lifestyles predicted violent victimization across gendered pathways to crime.</w:t>
      </w:r>
    </w:p>
    <w:p>
      <w:pPr>
        <w:spacing w:after="160"/>
        <w:ind w:left="360"/>
      </w:pPr>
      <w:r>
        <w:rPr>
          <w:rFonts w:ascii="Consolas" w:hAnsi="Consolas"/>
          <w:color w:val="7C879B"/>
          <w:sz w:val="16"/>
        </w:rPr>
        <w:t>Design: Longitudinal (3 waves)   ·   Data: Waves I–III   ·   Verification: Abstract/DB</w:t>
      </w:r>
    </w:p>
    <w:p>
      <w:r>
        <w:rPr>
          <w:rFonts w:ascii="Consolas" w:hAnsi="Consolas"/>
          <w:b/>
          <w:color w:val="28405C"/>
          <w:sz w:val="18"/>
        </w:rPr>
        <w:t xml:space="preserve">AH-050  </w:t>
      </w:r>
      <w:r>
        <w:rPr>
          <w:sz w:val="19"/>
        </w:rPr>
        <w:t>Ilhong Yun, Se-Jong Jung, Jusung Yoo (2015). Disability and Violent Victimization in a National Sample of Adolescents: A Longitudinal Study. Violence and Victims. https://doi.org/10.1891/0886-6708.vv-d-14-00008</w:t>
      </w:r>
    </w:p>
    <w:p>
      <w:pPr>
        <w:ind w:left="360"/>
      </w:pPr>
      <w:r>
        <w:rPr>
          <w:color w:val="48526A"/>
          <w:sz w:val="19"/>
        </w:rPr>
        <w:t>Disability elevated violent-victimization risk, with variation by disability and victimization type.</w:t>
      </w:r>
    </w:p>
    <w:p>
      <w:pPr>
        <w:spacing w:after="160"/>
        <w:ind w:left="360"/>
      </w:pPr>
      <w:r>
        <w:rPr>
          <w:rFonts w:ascii="Consolas" w:hAnsi="Consolas"/>
          <w:color w:val="7C879B"/>
          <w:sz w:val="16"/>
        </w:rPr>
        <w:t>Design: Longitudinal   ·   Data: National sample   ·   Verification: Abstract/DB</w:t>
      </w:r>
    </w:p>
    <w:p>
      <w:r>
        <w:rPr>
          <w:rFonts w:ascii="Consolas" w:hAnsi="Consolas"/>
          <w:b/>
          <w:color w:val="28405C"/>
          <w:sz w:val="18"/>
        </w:rPr>
        <w:t xml:space="preserve">AH-092  </w:t>
      </w:r>
      <w:r>
        <w:rPr>
          <w:sz w:val="19"/>
        </w:rPr>
        <w:t>Kiersten Gresham, Stephen Demuth (2020). Who Owns a Handgun? An Analysis of the Correlates of Handgun Ownership in Young Adulthood. The ANNALS of the American Academy of Political and Social Science. https://doi.org/10.1177/0002716219896257</w:t>
      </w:r>
    </w:p>
    <w:p>
      <w:pPr>
        <w:ind w:left="360"/>
      </w:pPr>
      <w:r>
        <w:rPr>
          <w:color w:val="48526A"/>
          <w:sz w:val="19"/>
        </w:rPr>
        <w:t>Socialization, victimization, conservatism, and societal insecurity independently increased handgun ownership in young adulthood.</w:t>
      </w:r>
    </w:p>
    <w:p>
      <w:pPr>
        <w:spacing w:after="160"/>
        <w:ind w:left="360"/>
      </w:pPr>
      <w:r>
        <w:rPr>
          <w:rFonts w:ascii="Consolas" w:hAnsi="Consolas"/>
          <w:color w:val="7C879B"/>
          <w:sz w:val="16"/>
        </w:rPr>
        <w:t>Design: Cross-sectional correlates   ·   Data: Add Health   ·   Verification: Abstract/DB</w:t>
      </w:r>
    </w:p>
    <w:p>
      <w:r>
        <w:rPr>
          <w:rFonts w:ascii="Consolas" w:hAnsi="Consolas"/>
          <w:b/>
          <w:color w:val="28405C"/>
          <w:sz w:val="18"/>
        </w:rPr>
        <w:t xml:space="preserve">AH-098  </w:t>
      </w:r>
      <w:r>
        <w:rPr>
          <w:sz w:val="19"/>
        </w:rPr>
        <w:t>Alexander Testa, Dylan B. Jackson, Daniel Semenza (2021). Unfair police treatment and sleep problems among a national sample of adults. Journal of Sleep Research. https://doi.org/10.1111/jsr.13353</w:t>
      </w:r>
    </w:p>
    <w:p>
      <w:pPr>
        <w:ind w:left="360"/>
      </w:pPr>
      <w:r>
        <w:rPr>
          <w:color w:val="48526A"/>
          <w:sz w:val="19"/>
        </w:rPr>
        <w:t>Unfair police treatment was associated with worse sleep quantity and quality among adults.</w:t>
      </w:r>
    </w:p>
    <w:p>
      <w:pPr>
        <w:spacing w:after="160"/>
        <w:ind w:left="360"/>
      </w:pPr>
      <w:r>
        <w:rPr>
          <w:rFonts w:ascii="Consolas" w:hAnsi="Consolas"/>
          <w:color w:val="7C879B"/>
          <w:sz w:val="16"/>
        </w:rPr>
        <w:t>Design: Cross-sectional (Wave V)   ·   Data: Wave V (N=12,057)   ·   Verification: Abstract/DB</w:t>
      </w:r>
    </w:p>
    <w:p>
      <w:r>
        <w:br w:type="page"/>
      </w:r>
    </w:p>
    <w:p>
      <w:pPr>
        <w:pStyle w:val="Heading1"/>
      </w:pPr>
      <w:r>
        <w:t>Study catalogue — Tier B (additional Add Health studies, citation &amp; design level)</w:t>
      </w:r>
    </w:p>
    <w:p>
      <w:r>
        <w:rPr>
          <w:b w:val="0"/>
          <w:i/>
          <w:color w:val="7C879B"/>
          <w:sz w:val="19"/>
        </w:rPr>
        <w:t>45 further verified Add Health studies listed at citation and design level without findings claimed, per a two-tier evidentiary standard.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7"/>
              </w:rPr>
              <w:t>ID</w:t>
            </w:r>
          </w:p>
        </w:tc>
        <w:tc>
          <w:tcPr>
            <w:tcW w:type="dxa" w:w="2160"/>
          </w:tcPr>
          <w:p>
            <w:r/>
            <w:r>
              <w:rPr>
                <w:b/>
                <w:sz w:val="17"/>
              </w:rPr>
              <w:t>Citation</w:t>
            </w:r>
          </w:p>
        </w:tc>
        <w:tc>
          <w:tcPr>
            <w:tcW w:type="dxa" w:w="2160"/>
          </w:tcPr>
          <w:p>
            <w:r/>
            <w:r>
              <w:rPr>
                <w:b/>
                <w:sz w:val="17"/>
              </w:rPr>
              <w:t>Tier</w:t>
            </w:r>
          </w:p>
        </w:tc>
        <w:tc>
          <w:tcPr>
            <w:tcW w:type="dxa" w:w="2160"/>
          </w:tcPr>
          <w:p>
            <w:r/>
            <w:r>
              <w:rPr>
                <w:b/>
                <w:sz w:val="17"/>
              </w:rPr>
              <w:t>Domain</w:t>
            </w:r>
          </w:p>
        </w:tc>
      </w:tr>
      <w:tr>
        <w:tc>
          <w:tcPr>
            <w:tcW w:type="dxa" w:w="2160"/>
          </w:tcPr>
          <w:p>
            <w:r/>
            <w:r>
              <w:rPr>
                <w:sz w:val="17"/>
              </w:rPr>
              <w:t>AH-029</w:t>
            </w:r>
          </w:p>
        </w:tc>
        <w:tc>
          <w:tcPr>
            <w:tcW w:type="dxa" w:w="2160"/>
          </w:tcPr>
          <w:p>
            <w:r/>
            <w:r>
              <w:rPr>
                <w:sz w:val="17"/>
              </w:rPr>
              <w:t>A L Spriggs, C T Halpern, S L Martin (2009). Continuity of adolescent and early adult partner violence victimisation: association with witnessing violent crime in adolescence. Journal of Epidemiology &amp; Community Health. https://doi.org/10.1136/jech.2008.078592</w:t>
            </w:r>
          </w:p>
        </w:tc>
        <w:tc>
          <w:tcPr>
            <w:tcW w:type="dxa" w:w="2160"/>
          </w:tcPr>
          <w:p>
            <w:r/>
            <w:r>
              <w:rPr>
                <w:sz w:val="17"/>
              </w:rPr>
              <w:t>T1</w:t>
            </w:r>
          </w:p>
        </w:tc>
        <w:tc>
          <w:tcPr>
            <w:tcW w:type="dxa" w:w="2160"/>
          </w:tcPr>
          <w:p>
            <w:r/>
            <w:r>
              <w:rPr>
                <w:sz w:val="17"/>
              </w:rPr>
              <w:t>Community &amp; street violence exposure</w:t>
            </w:r>
          </w:p>
        </w:tc>
      </w:tr>
      <w:tr>
        <w:tc>
          <w:tcPr>
            <w:tcW w:type="dxa" w:w="2160"/>
          </w:tcPr>
          <w:p>
            <w:r/>
            <w:r>
              <w:rPr>
                <w:sz w:val="17"/>
              </w:rPr>
              <w:t>AH-031</w:t>
            </w:r>
          </w:p>
        </w:tc>
        <w:tc>
          <w:tcPr>
            <w:tcW w:type="dxa" w:w="2160"/>
          </w:tcPr>
          <w:p>
            <w:r/>
            <w:r>
              <w:rPr>
                <w:sz w:val="17"/>
              </w:rPr>
              <w:t>Aubrey L. Spriggs, Carolyn Tucker Halpern, Amy H. Herring, Victor J. Schoenbach (2009). Family and school socioeconomic disadvantage: Interactive influences on adolescent dating violence victimization. Social Science &amp; Medicine. https://doi.org/10.1016/j.socscimed.2009.03.015</w:t>
            </w:r>
          </w:p>
        </w:tc>
        <w:tc>
          <w:tcPr>
            <w:tcW w:type="dxa" w:w="2160"/>
          </w:tcPr>
          <w:p>
            <w:r/>
            <w:r>
              <w:rPr>
                <w:sz w:val="17"/>
              </w:rPr>
              <w:t>T1</w:t>
            </w:r>
          </w:p>
        </w:tc>
        <w:tc>
          <w:tcPr>
            <w:tcW w:type="dxa" w:w="2160"/>
          </w:tcPr>
          <w:p>
            <w:r/>
            <w:r>
              <w:rPr>
                <w:sz w:val="17"/>
              </w:rPr>
              <w:t>Neighborhood / contextual disadvantage &amp; mental health</w:t>
            </w:r>
          </w:p>
        </w:tc>
      </w:tr>
      <w:tr>
        <w:tc>
          <w:tcPr>
            <w:tcW w:type="dxa" w:w="2160"/>
          </w:tcPr>
          <w:p>
            <w:r/>
            <w:r>
              <w:rPr>
                <w:sz w:val="17"/>
              </w:rPr>
              <w:t>AH-032</w:t>
            </w:r>
          </w:p>
        </w:tc>
        <w:tc>
          <w:tcPr>
            <w:tcW w:type="dxa" w:w="2160"/>
          </w:tcPr>
          <w:p>
            <w:r/>
            <w:r>
              <w:rPr>
                <w:sz w:val="17"/>
              </w:rPr>
              <w:t>Carolyn Tucker Halpern, Aubrey L. Spriggs, Sandra L. Martin, Lawrence L. Kupper (2009). Patterns of Intimate Partner Violence Victimization from Adolescence to Young Adulthood in a Nationally Representative Sample. Journal of Adolescent Health. https://doi.org/10.1016/j.jadohealth.2009.03.011</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AH-034</w:t>
            </w:r>
          </w:p>
        </w:tc>
        <w:tc>
          <w:tcPr>
            <w:tcW w:type="dxa" w:w="2160"/>
          </w:tcPr>
          <w:p>
            <w:r/>
            <w:r>
              <w:rPr>
                <w:sz w:val="17"/>
              </w:rPr>
              <w:t>Jennifer W. Kaminski, Xiangming Fang (2009). Victimization by Peers and Adolescent Suicide in Three US Samples. The Journal of Pediatrics. https://doi.org/10.1016/j.jpeds.2009.04.061</w:t>
            </w:r>
          </w:p>
        </w:tc>
        <w:tc>
          <w:tcPr>
            <w:tcW w:type="dxa" w:w="2160"/>
          </w:tcPr>
          <w:p>
            <w:r/>
            <w:r>
              <w:rPr>
                <w:sz w:val="17"/>
              </w:rPr>
              <w:t>T1</w:t>
            </w:r>
          </w:p>
        </w:tc>
        <w:tc>
          <w:tcPr>
            <w:tcW w:type="dxa" w:w="2160"/>
          </w:tcPr>
          <w:p>
            <w:r/>
            <w:r>
              <w:rPr>
                <w:sz w:val="17"/>
              </w:rPr>
              <w:t>Moderators &amp; protective factors</w:t>
            </w:r>
          </w:p>
        </w:tc>
      </w:tr>
      <w:tr>
        <w:tc>
          <w:tcPr>
            <w:tcW w:type="dxa" w:w="2160"/>
          </w:tcPr>
          <w:p>
            <w:r/>
            <w:r>
              <w:rPr>
                <w:sz w:val="17"/>
              </w:rPr>
              <w:t>AH-035</w:t>
            </w:r>
          </w:p>
        </w:tc>
        <w:tc>
          <w:tcPr>
            <w:tcW w:type="dxa" w:w="2160"/>
          </w:tcPr>
          <w:p>
            <w:r/>
            <w:r>
              <w:rPr>
                <w:sz w:val="17"/>
              </w:rPr>
              <w:t>Jennifer L. Matjasko, Belinda L. Needham, Leslie N. Grunden, Amy Feldman Farb (2010). Violent Victimization and Perpetration During Adolescence: Developmental Stage Dependent Ecological Models. Journal of Youth and Adolescence. https://doi.org/10.1007/s10964-010-9508-7</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AH-036</w:t>
            </w:r>
          </w:p>
        </w:tc>
        <w:tc>
          <w:tcPr>
            <w:tcW w:type="dxa" w:w="2160"/>
          </w:tcPr>
          <w:p>
            <w:r/>
            <w:r>
              <w:rPr>
                <w:sz w:val="17"/>
              </w:rPr>
              <w:t>Abigail A. Haydon, Annie‐Laurie McRee, Carolyn Tucker Halpern (2011). Unwanted Sex Among Young Adults in the United States. Journal of Interpersonal Violence. https://doi.org/10.1177/0886260511403756</w:t>
            </w:r>
          </w:p>
        </w:tc>
        <w:tc>
          <w:tcPr>
            <w:tcW w:type="dxa" w:w="2160"/>
          </w:tcPr>
          <w:p>
            <w:r/>
            <w:r>
              <w:rPr>
                <w:sz w:val="17"/>
              </w:rPr>
              <w:t>T3</w:t>
            </w:r>
          </w:p>
        </w:tc>
        <w:tc>
          <w:tcPr>
            <w:tcW w:type="dxa" w:w="2160"/>
          </w:tcPr>
          <w:p>
            <w:r/>
            <w:r>
              <w:rPr>
                <w:sz w:val="17"/>
              </w:rPr>
              <w:t>Measurement (CES-D) &amp; causal-inference methods</w:t>
            </w:r>
          </w:p>
        </w:tc>
      </w:tr>
      <w:tr>
        <w:tc>
          <w:tcPr>
            <w:tcW w:type="dxa" w:w="2160"/>
          </w:tcPr>
          <w:p>
            <w:r/>
            <w:r>
              <w:rPr>
                <w:sz w:val="17"/>
              </w:rPr>
              <w:t>AH-037</w:t>
            </w:r>
          </w:p>
        </w:tc>
        <w:tc>
          <w:tcPr>
            <w:tcW w:type="dxa" w:w="2160"/>
          </w:tcPr>
          <w:p>
            <w:r/>
            <w:r>
              <w:rPr>
                <w:sz w:val="17"/>
              </w:rPr>
              <w:t>Danielle C. Kuhl, David F. Warner, Andrew Wilczak (2012). ADOLESCENT VIOLENT VICTIMIZATION AND PRECOCIOUS UNION FORMATION*. Criminology. https://doi.org/10.1111/j.1745-9125.2012.00288.x</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AH-038</w:t>
            </w:r>
          </w:p>
        </w:tc>
        <w:tc>
          <w:tcPr>
            <w:tcW w:type="dxa" w:w="2160"/>
          </w:tcPr>
          <w:p>
            <w:r/>
            <w:r>
              <w:rPr>
                <w:sz w:val="17"/>
              </w:rPr>
              <w:t>Deinera Exner‐Cortens, John Eckenrode, Emily F. Rothman (2012). Longitudinal Associations Between Teen Dating Violence Victimization and Adverse Health Outcomes. PEDIATRICS. https://doi.org/10.1542/peds.2012-1029</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AH-039</w:t>
            </w:r>
          </w:p>
        </w:tc>
        <w:tc>
          <w:tcPr>
            <w:tcW w:type="dxa" w:w="2160"/>
          </w:tcPr>
          <w:p>
            <w:r/>
            <w:r>
              <w:rPr>
                <w:sz w:val="17"/>
              </w:rPr>
              <w:t>Marie Skubak Tillyer (2012). The Relationship Between Childhood Maltreatment and Adolescent Violent Victimization. Crime &amp; Delinquency. https://doi.org/10.1177/0011128712461121</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AH-040</w:t>
            </w:r>
          </w:p>
        </w:tc>
        <w:tc>
          <w:tcPr>
            <w:tcW w:type="dxa" w:w="2160"/>
          </w:tcPr>
          <w:p>
            <w:r/>
            <w:r>
              <w:rPr>
                <w:sz w:val="17"/>
              </w:rPr>
              <w:t>J. C. Barnes, Bruce A. Jacobs (2013). Genetic Risk for Violent Behavior and Environmental Exposure to Disadvantage and Violent Crime. Journal of Interpersonal Violence. https://doi.org/10.1177/0886260512448847</w:t>
            </w:r>
          </w:p>
        </w:tc>
        <w:tc>
          <w:tcPr>
            <w:tcW w:type="dxa" w:w="2160"/>
          </w:tcPr>
          <w:p>
            <w:r/>
            <w:r>
              <w:rPr>
                <w:sz w:val="17"/>
              </w:rPr>
              <w:t>T3</w:t>
            </w:r>
          </w:p>
        </w:tc>
        <w:tc>
          <w:tcPr>
            <w:tcW w:type="dxa" w:w="2160"/>
          </w:tcPr>
          <w:p>
            <w:r/>
            <w:r>
              <w:rPr>
                <w:sz w:val="17"/>
              </w:rPr>
              <w:t>Biomarkers &amp; biological embedding</w:t>
            </w:r>
          </w:p>
        </w:tc>
      </w:tr>
      <w:tr>
        <w:tc>
          <w:tcPr>
            <w:tcW w:type="dxa" w:w="2160"/>
          </w:tcPr>
          <w:p>
            <w:r/>
            <w:r>
              <w:rPr>
                <w:sz w:val="17"/>
              </w:rPr>
              <w:t>AH-041</w:t>
            </w:r>
          </w:p>
        </w:tc>
        <w:tc>
          <w:tcPr>
            <w:tcW w:type="dxa" w:w="2160"/>
          </w:tcPr>
          <w:p>
            <w:r/>
            <w:r>
              <w:rPr>
                <w:sz w:val="17"/>
              </w:rPr>
              <w:t>Paul D. C. Bones (2013). Perceptions of Vulnerability: A Target Characteristics Approach to Disability, Gender, and Victimization. Deviant Behavior. https://doi.org/10.1080/01639625.2013.766511</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AH-042</w:t>
            </w:r>
          </w:p>
        </w:tc>
        <w:tc>
          <w:tcPr>
            <w:tcW w:type="dxa" w:w="2160"/>
          </w:tcPr>
          <w:p>
            <w:r/>
            <w:r>
              <w:rPr>
                <w:sz w:val="17"/>
              </w:rPr>
              <w:t>Carolyn Tucker Halpern, Christine Tucker, Angela M. Bengtson, Lawrence L. Kupper, Samuel A. McLean, Sandra L. Martin (2013). Somatic Symptoms Among US Adolescent Females: Associations with Sexual and Physical Violence Exposure. Maternal and Child Health Journal. https://doi.org/10.1007/s10995-013-1221-1</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AH-043</w:t>
            </w:r>
          </w:p>
        </w:tc>
        <w:tc>
          <w:tcPr>
            <w:tcW w:type="dxa" w:w="2160"/>
          </w:tcPr>
          <w:p>
            <w:r/>
            <w:r>
              <w:rPr>
                <w:sz w:val="17"/>
              </w:rPr>
              <w:t>Kathryn M. Nowotny, Jennifer L. Graves (2013). Substance Use and Intimate Partner Violence Victimization Among White, African American, and Latina Women. Journal of Interpersonal Violence. https://doi.org/10.1177/0886260513496903</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AH-044</w:t>
            </w:r>
          </w:p>
        </w:tc>
        <w:tc>
          <w:tcPr>
            <w:tcW w:type="dxa" w:w="2160"/>
          </w:tcPr>
          <w:p>
            <w:r/>
            <w:r>
              <w:rPr>
                <w:sz w:val="17"/>
              </w:rPr>
              <w:t>R. Barry Ruback, Valerie Clark, Cody Warner (2013). Why Are Crime Victims at Risk of Being Victimized Again? Substance Use, Depression, and Offending as Mediators of the Victimization–Revictimization Link. Journal of Interpersonal Violence. https://doi.org/10.1177/0886260513504626</w:t>
            </w:r>
          </w:p>
        </w:tc>
        <w:tc>
          <w:tcPr>
            <w:tcW w:type="dxa" w:w="2160"/>
          </w:tcPr>
          <w:p>
            <w:r/>
            <w:r>
              <w:rPr>
                <w:sz w:val="17"/>
              </w:rPr>
              <w:t>T1</w:t>
            </w:r>
          </w:p>
        </w:tc>
        <w:tc>
          <w:tcPr>
            <w:tcW w:type="dxa" w:w="2160"/>
          </w:tcPr>
          <w:p>
            <w:r/>
            <w:r>
              <w:rPr>
                <w:sz w:val="17"/>
              </w:rPr>
              <w:t>Depression / mental health as predictor of later behavior</w:t>
            </w:r>
          </w:p>
        </w:tc>
      </w:tr>
      <w:tr>
        <w:tc>
          <w:tcPr>
            <w:tcW w:type="dxa" w:w="2160"/>
          </w:tcPr>
          <w:p>
            <w:r/>
            <w:r>
              <w:rPr>
                <w:sz w:val="17"/>
              </w:rPr>
              <w:t>AH-045</w:t>
            </w:r>
          </w:p>
        </w:tc>
        <w:tc>
          <w:tcPr>
            <w:tcW w:type="dxa" w:w="2160"/>
          </w:tcPr>
          <w:p>
            <w:r/>
            <w:r>
              <w:rPr>
                <w:sz w:val="17"/>
              </w:rPr>
              <w:t>Sharon L. Christ (2014). Modeling Contextual Data in Add Health. Add Health Users Conference</w:t>
            </w:r>
          </w:p>
        </w:tc>
        <w:tc>
          <w:tcPr>
            <w:tcW w:type="dxa" w:w="2160"/>
          </w:tcPr>
          <w:p>
            <w:r/>
            <w:r>
              <w:rPr>
                <w:sz w:val="17"/>
              </w:rPr>
              <w:t>T3</w:t>
            </w:r>
          </w:p>
        </w:tc>
        <w:tc>
          <w:tcPr>
            <w:tcW w:type="dxa" w:w="2160"/>
          </w:tcPr>
          <w:p>
            <w:r/>
            <w:r>
              <w:rPr>
                <w:sz w:val="17"/>
              </w:rPr>
              <w:t>Neighborhood / contextual disadvantage &amp; mental health</w:t>
            </w:r>
          </w:p>
        </w:tc>
      </w:tr>
      <w:tr>
        <w:tc>
          <w:tcPr>
            <w:tcW w:type="dxa" w:w="2160"/>
          </w:tcPr>
          <w:p>
            <w:r/>
            <w:r>
              <w:rPr>
                <w:sz w:val="17"/>
              </w:rPr>
              <w:t>AH-046</w:t>
            </w:r>
          </w:p>
        </w:tc>
        <w:tc>
          <w:tcPr>
            <w:tcW w:type="dxa" w:w="2160"/>
          </w:tcPr>
          <w:p>
            <w:r/>
            <w:r>
              <w:rPr>
                <w:sz w:val="17"/>
              </w:rPr>
              <w:t>John M. Stogner, J. Mitchell Miller, Bonnie S. Fisher, Eric A. Stewart, Christopher J. Schreck (2014). Peer Group Delinquency and Sexual Victimization: Does Popularity Matter?. Women &amp; Criminal Justice. https://doi.org/10.1080/08974454.2013.842520</w:t>
            </w:r>
          </w:p>
        </w:tc>
        <w:tc>
          <w:tcPr>
            <w:tcW w:type="dxa" w:w="2160"/>
          </w:tcPr>
          <w:p>
            <w:r/>
            <w:r>
              <w:rPr>
                <w:sz w:val="17"/>
              </w:rPr>
              <w:t>T1</w:t>
            </w:r>
          </w:p>
        </w:tc>
        <w:tc>
          <w:tcPr>
            <w:tcW w:type="dxa" w:w="2160"/>
          </w:tcPr>
          <w:p>
            <w:r/>
            <w:r>
              <w:rPr>
                <w:sz w:val="17"/>
              </w:rPr>
              <w:t>Moderators &amp; protective factors</w:t>
            </w:r>
          </w:p>
        </w:tc>
      </w:tr>
      <w:tr>
        <w:tc>
          <w:tcPr>
            <w:tcW w:type="dxa" w:w="2160"/>
          </w:tcPr>
          <w:p>
            <w:r/>
            <w:r>
              <w:rPr>
                <w:sz w:val="17"/>
              </w:rPr>
              <w:t>AH-047</w:t>
            </w:r>
          </w:p>
        </w:tc>
        <w:tc>
          <w:tcPr>
            <w:tcW w:type="dxa" w:w="2160"/>
          </w:tcPr>
          <w:p>
            <w:r/>
            <w:r>
              <w:rPr>
                <w:sz w:val="17"/>
              </w:rPr>
              <w:t>Chad Posick, Gregory M. Zimmerman (2014). Person-in-Context. Journal of Interpersonal Violence. https://doi.org/10.1177/0886260514540327</w:t>
            </w:r>
          </w:p>
        </w:tc>
        <w:tc>
          <w:tcPr>
            <w:tcW w:type="dxa" w:w="2160"/>
          </w:tcPr>
          <w:p>
            <w:r/>
            <w:r>
              <w:rPr>
                <w:sz w:val="17"/>
              </w:rPr>
              <w:t>T3</w:t>
            </w:r>
          </w:p>
        </w:tc>
        <w:tc>
          <w:tcPr>
            <w:tcW w:type="dxa" w:w="2160"/>
          </w:tcPr>
          <w:p>
            <w:r/>
            <w:r>
              <w:rPr>
                <w:sz w:val="17"/>
              </w:rPr>
              <w:t>Measurement (CES-D) &amp; causal-inference methods</w:t>
            </w:r>
          </w:p>
        </w:tc>
      </w:tr>
      <w:tr>
        <w:tc>
          <w:tcPr>
            <w:tcW w:type="dxa" w:w="2160"/>
          </w:tcPr>
          <w:p>
            <w:r/>
            <w:r>
              <w:rPr>
                <w:sz w:val="17"/>
              </w:rPr>
              <w:t>AH-054</w:t>
            </w:r>
          </w:p>
        </w:tc>
        <w:tc>
          <w:tcPr>
            <w:tcW w:type="dxa" w:w="2160"/>
          </w:tcPr>
          <w:p>
            <w:r/>
            <w:r>
              <w:rPr>
                <w:sz w:val="17"/>
              </w:rPr>
              <w:t>Matt Vogel, Shelley Keith (2015). Vicarious Peer Victimization and Adolescent Violence: Unpacking the Effects of Social Learning, General Strain, and Peer Group Selection. Deviant Behavior. https://doi.org/10.1080/01639625.2014.977187</w:t>
            </w:r>
          </w:p>
        </w:tc>
        <w:tc>
          <w:tcPr>
            <w:tcW w:type="dxa" w:w="2160"/>
          </w:tcPr>
          <w:p>
            <w:r/>
            <w:r>
              <w:rPr>
                <w:sz w:val="17"/>
              </w:rPr>
              <w:t>T1</w:t>
            </w:r>
          </w:p>
        </w:tc>
        <w:tc>
          <w:tcPr>
            <w:tcW w:type="dxa" w:w="2160"/>
          </w:tcPr>
          <w:p>
            <w:r/>
            <w:r>
              <w:rPr>
                <w:sz w:val="17"/>
              </w:rPr>
              <w:t>Biomarkers &amp; biological embedding</w:t>
            </w:r>
          </w:p>
        </w:tc>
      </w:tr>
      <w:tr>
        <w:tc>
          <w:tcPr>
            <w:tcW w:type="dxa" w:w="2160"/>
          </w:tcPr>
          <w:p>
            <w:r/>
            <w:r>
              <w:rPr>
                <w:sz w:val="17"/>
              </w:rPr>
              <w:t>AH-055</w:t>
            </w:r>
          </w:p>
        </w:tc>
        <w:tc>
          <w:tcPr>
            <w:tcW w:type="dxa" w:w="2160"/>
          </w:tcPr>
          <w:p>
            <w:r/>
            <w:r>
              <w:rPr>
                <w:sz w:val="17"/>
              </w:rPr>
              <w:t>Kathleen A. Fox, Leana A. Bouffard (2015). Violent Victimization Vulnerability: Testing a Conceptual Model of Personality, Social, and Community Factors. Deviant Behavior. https://doi.org/10.1080/01639625.2014.977201</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AH-058</w:t>
            </w:r>
          </w:p>
        </w:tc>
        <w:tc>
          <w:tcPr>
            <w:tcW w:type="dxa" w:w="2160"/>
          </w:tcPr>
          <w:p>
            <w:r/>
            <w:r>
              <w:rPr>
                <w:sz w:val="17"/>
              </w:rPr>
              <w:t>Jillian J. Turanovic, Travis C. Pratt (2016). Consequences of Violent Victimization for Native American Youth in Early Adulthood. Journal of Youth and Adolescence. https://doi.org/10.1007/s10964-016-0587-y</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AH-059</w:t>
            </w:r>
          </w:p>
        </w:tc>
        <w:tc>
          <w:tcPr>
            <w:tcW w:type="dxa" w:w="2160"/>
          </w:tcPr>
          <w:p>
            <w:r/>
            <w:r>
              <w:rPr>
                <w:sz w:val="17"/>
              </w:rPr>
              <w:t>Lacey N. Wallace, Kim S. Ménard (2016). Friendships Lost: The Social Consequences of Violent Victimization. Journal of Aggression Maltreatment &amp; Trauma. https://doi.org/10.1080/10926771.2016.1250852</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AH-060</w:t>
            </w:r>
          </w:p>
        </w:tc>
        <w:tc>
          <w:tcPr>
            <w:tcW w:type="dxa" w:w="2160"/>
          </w:tcPr>
          <w:p>
            <w:r/>
            <w:r>
              <w:rPr>
                <w:sz w:val="17"/>
              </w:rPr>
              <w:t>Kevin M. Beaver, Joseph L. Nedelec, J. C. Barnes, Brian B. Boutwell, Cashen M. Boccio (2016). The association between intelligence and personal victimization in adolescence and adulthood. Personality and Individual Differences. https://doi.org/10.1016/j.paid.2016.04.068</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AH-061</w:t>
            </w:r>
          </w:p>
        </w:tc>
        <w:tc>
          <w:tcPr>
            <w:tcW w:type="dxa" w:w="2160"/>
          </w:tcPr>
          <w:p>
            <w:r/>
            <w:r>
              <w:rPr>
                <w:sz w:val="17"/>
              </w:rPr>
              <w:t>Kevin A. Wright, Jillian J. Turanovic, Eryn Nicole O’Neal, Stephanie Morse, Evan T. Booth (2016). The Cycle of Violence Revisited: Childhood Victimization, Resilience, and Future Violence. Journal of Interpersonal Violence. https://doi.org/10.1177/0886260516651090</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AH-062</w:t>
            </w:r>
          </w:p>
        </w:tc>
        <w:tc>
          <w:tcPr>
            <w:tcW w:type="dxa" w:w="2160"/>
          </w:tcPr>
          <w:p>
            <w:r/>
            <w:r>
              <w:rPr>
                <w:sz w:val="17"/>
              </w:rPr>
              <w:t>Stephen J. Watts (2016). The Link Between Child Abuse and Neglect and Delinquency: Examining the Mediating Role of Social Bonds. Victims &amp; Offenders. https://doi.org/10.1080/15564886.2016.1155190</w:t>
            </w:r>
          </w:p>
        </w:tc>
        <w:tc>
          <w:tcPr>
            <w:tcW w:type="dxa" w:w="2160"/>
          </w:tcPr>
          <w:p>
            <w:r/>
            <w:r>
              <w:rPr>
                <w:sz w:val="17"/>
              </w:rPr>
              <w:t>T3</w:t>
            </w:r>
          </w:p>
        </w:tc>
        <w:tc>
          <w:tcPr>
            <w:tcW w:type="dxa" w:w="2160"/>
          </w:tcPr>
          <w:p>
            <w:r/>
            <w:r>
              <w:rPr>
                <w:sz w:val="17"/>
              </w:rPr>
              <w:t>Measurement (CES-D) &amp; causal-inference methods</w:t>
            </w:r>
          </w:p>
        </w:tc>
      </w:tr>
      <w:tr>
        <w:tc>
          <w:tcPr>
            <w:tcW w:type="dxa" w:w="2160"/>
          </w:tcPr>
          <w:p>
            <w:r/>
            <w:r>
              <w:rPr>
                <w:sz w:val="17"/>
              </w:rPr>
              <w:t>AH-063</w:t>
            </w:r>
          </w:p>
        </w:tc>
        <w:tc>
          <w:tcPr>
            <w:tcW w:type="dxa" w:w="2160"/>
          </w:tcPr>
          <w:p>
            <w:r/>
            <w:r>
              <w:rPr>
                <w:sz w:val="17"/>
              </w:rPr>
              <w:t>Jillian J. Turanovic, Jacob T.N. Young (2016). VIOLENT OFFENDING AND VICTIMIZATION IN ADOLESCENCE: SOCIAL NETWORK MECHANISMS AND HOMOPHILY*. Criminology. https://doi.org/10.1111/1745-9125.12112</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AH-065</w:t>
            </w:r>
          </w:p>
        </w:tc>
        <w:tc>
          <w:tcPr>
            <w:tcW w:type="dxa" w:w="2160"/>
          </w:tcPr>
          <w:p>
            <w:r/>
            <w:r>
              <w:rPr>
                <w:sz w:val="17"/>
              </w:rPr>
              <w:t>Chelsea Farrell, Gregory M. Zimmerman (2017). Does offending intensify as exposure to violence aggregates? Reconsidering the effects of repeat victimization, types of exposure to violence, and poly-victimization on property crime, violent offending, and substance use. Journal of Criminal Justice. https://doi.org/10.1016/j.jcrimjus.2017.09.004</w:t>
            </w:r>
          </w:p>
        </w:tc>
        <w:tc>
          <w:tcPr>
            <w:tcW w:type="dxa" w:w="2160"/>
          </w:tcPr>
          <w:p>
            <w:r/>
            <w:r>
              <w:rPr>
                <w:sz w:val="17"/>
              </w:rPr>
              <w:t>T1</w:t>
            </w:r>
          </w:p>
        </w:tc>
        <w:tc>
          <w:tcPr>
            <w:tcW w:type="dxa" w:w="2160"/>
          </w:tcPr>
          <w:p>
            <w:r/>
            <w:r>
              <w:rPr>
                <w:sz w:val="17"/>
              </w:rPr>
              <w:t>Community &amp; street violence exposure</w:t>
            </w:r>
          </w:p>
        </w:tc>
      </w:tr>
      <w:tr>
        <w:tc>
          <w:tcPr>
            <w:tcW w:type="dxa" w:w="2160"/>
          </w:tcPr>
          <w:p>
            <w:r/>
            <w:r>
              <w:rPr>
                <w:sz w:val="17"/>
              </w:rPr>
              <w:t>AH-066</w:t>
            </w:r>
          </w:p>
        </w:tc>
        <w:tc>
          <w:tcPr>
            <w:tcW w:type="dxa" w:w="2160"/>
          </w:tcPr>
          <w:p>
            <w:r/>
            <w:r>
              <w:rPr>
                <w:sz w:val="17"/>
              </w:rPr>
              <w:t>Chelsea Farrell (2017). Exploring the Overlap Between Sexual Victimization and Offending Among Young Women Across Neighborhoods: Does the Type of Force and Type of Offending Matter?. Journal of Interpersonal Violence. https://doi.org/10.1177/0886260516689778</w:t>
            </w:r>
          </w:p>
        </w:tc>
        <w:tc>
          <w:tcPr>
            <w:tcW w:type="dxa" w:w="2160"/>
          </w:tcPr>
          <w:p>
            <w:r/>
            <w:r>
              <w:rPr>
                <w:sz w:val="17"/>
              </w:rPr>
              <w:t>T1</w:t>
            </w:r>
          </w:p>
        </w:tc>
        <w:tc>
          <w:tcPr>
            <w:tcW w:type="dxa" w:w="2160"/>
          </w:tcPr>
          <w:p>
            <w:r/>
            <w:r>
              <w:rPr>
                <w:sz w:val="17"/>
              </w:rPr>
              <w:t>Neighborhood / contextual disadvantage &amp; mental health</w:t>
            </w:r>
          </w:p>
        </w:tc>
      </w:tr>
      <w:tr>
        <w:tc>
          <w:tcPr>
            <w:tcW w:type="dxa" w:w="2160"/>
          </w:tcPr>
          <w:p>
            <w:r/>
            <w:r>
              <w:rPr>
                <w:sz w:val="17"/>
              </w:rPr>
              <w:t>AH-067</w:t>
            </w:r>
          </w:p>
        </w:tc>
        <w:tc>
          <w:tcPr>
            <w:tcW w:type="dxa" w:w="2160"/>
          </w:tcPr>
          <w:p>
            <w:r/>
            <w:r>
              <w:rPr>
                <w:sz w:val="17"/>
              </w:rPr>
              <w:t>Tara N. Richards, Marie Skubak Tillyer, Emily M. Wright (2017). Intimate partner violence and the overlap of perpetration and victimization: Considering the influence of physical, sexual, and emotional abuse in childhood. Child Abuse &amp; Neglect. https://doi.org/10.1016/j.chiabu.2017.02.037</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AH-069</w:t>
            </w:r>
          </w:p>
        </w:tc>
        <w:tc>
          <w:tcPr>
            <w:tcW w:type="dxa" w:w="2160"/>
          </w:tcPr>
          <w:p>
            <w:r/>
            <w:r>
              <w:rPr>
                <w:sz w:val="17"/>
              </w:rPr>
              <w:t>Chelsea Farrell, Gregory M. Zimmerman (2017). Violent Lives: Pathways Linking Exposure to Violence To Suicidal Behavior in a National Sample. Archives of Suicide Research. https://doi.org/10.1080/13811118.2017.1404517</w:t>
            </w:r>
          </w:p>
        </w:tc>
        <w:tc>
          <w:tcPr>
            <w:tcW w:type="dxa" w:w="2160"/>
          </w:tcPr>
          <w:p>
            <w:r/>
            <w:r>
              <w:rPr>
                <w:sz w:val="17"/>
              </w:rPr>
              <w:t>T1</w:t>
            </w:r>
          </w:p>
        </w:tc>
        <w:tc>
          <w:tcPr>
            <w:tcW w:type="dxa" w:w="2160"/>
          </w:tcPr>
          <w:p>
            <w:r/>
            <w:r>
              <w:rPr>
                <w:sz w:val="17"/>
              </w:rPr>
              <w:t>Community &amp; street violence exposure</w:t>
            </w:r>
          </w:p>
        </w:tc>
      </w:tr>
      <w:tr>
        <w:tc>
          <w:tcPr>
            <w:tcW w:type="dxa" w:w="2160"/>
          </w:tcPr>
          <w:p>
            <w:r/>
            <w:r>
              <w:rPr>
                <w:sz w:val="17"/>
              </w:rPr>
              <w:t>AH-070</w:t>
            </w:r>
          </w:p>
        </w:tc>
        <w:tc>
          <w:tcPr>
            <w:tcW w:type="dxa" w:w="2160"/>
          </w:tcPr>
          <w:p>
            <w:r/>
            <w:r>
              <w:rPr>
                <w:sz w:val="17"/>
              </w:rPr>
              <w:t>Lin Zhu (2018). A Multi-Level Analysis on School Connectedness, Family Support, and Adolescent Depression: Evidence from the National Longitudinal Study of Adolescent Health, 1995–1996. Social Sciences. https://doi.org/10.3390/socsci7050072</w:t>
            </w:r>
          </w:p>
        </w:tc>
        <w:tc>
          <w:tcPr>
            <w:tcW w:type="dxa" w:w="2160"/>
          </w:tcPr>
          <w:p>
            <w:r/>
            <w:r>
              <w:rPr>
                <w:sz w:val="17"/>
              </w:rPr>
              <w:t>T2</w:t>
            </w:r>
          </w:p>
        </w:tc>
        <w:tc>
          <w:tcPr>
            <w:tcW w:type="dxa" w:w="2160"/>
          </w:tcPr>
          <w:p>
            <w:r/>
            <w:r>
              <w:rPr>
                <w:sz w:val="17"/>
              </w:rPr>
              <w:t>Moderators &amp; protective factors</w:t>
            </w:r>
          </w:p>
        </w:tc>
      </w:tr>
      <w:tr>
        <w:tc>
          <w:tcPr>
            <w:tcW w:type="dxa" w:w="2160"/>
          </w:tcPr>
          <w:p>
            <w:r/>
            <w:r>
              <w:rPr>
                <w:sz w:val="17"/>
              </w:rPr>
              <w:t>AH-072</w:t>
            </w:r>
          </w:p>
        </w:tc>
        <w:tc>
          <w:tcPr>
            <w:tcW w:type="dxa" w:w="2160"/>
          </w:tcPr>
          <w:p>
            <w:r/>
            <w:r>
              <w:rPr>
                <w:sz w:val="17"/>
              </w:rPr>
              <w:t>Tiffaney A. Tomlinson, Daniel P. Mears, Jillian J. Turanovic, Eric A. Stewart (2018). Forcible Rape and Adolescent Friendship Networks. Journal of Interpersonal Violence. https://doi.org/10.1177/0886260518787807</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AH-074</w:t>
            </w:r>
          </w:p>
        </w:tc>
        <w:tc>
          <w:tcPr>
            <w:tcW w:type="dxa" w:w="2160"/>
          </w:tcPr>
          <w:p>
            <w:r/>
            <w:r>
              <w:rPr>
                <w:sz w:val="17"/>
              </w:rPr>
              <w:t>Kathleen Mullan Harris, Briana Schorpp (2018). Integrating Biomarkers in Social Stratification and Health Research. Annual Review of Sociology. https://doi.org/10.1146/annurev-soc-060116-053339</w:t>
            </w:r>
          </w:p>
        </w:tc>
        <w:tc>
          <w:tcPr>
            <w:tcW w:type="dxa" w:w="2160"/>
          </w:tcPr>
          <w:p>
            <w:r/>
            <w:r>
              <w:rPr>
                <w:sz w:val="17"/>
              </w:rPr>
              <w:t>T3</w:t>
            </w:r>
          </w:p>
        </w:tc>
        <w:tc>
          <w:tcPr>
            <w:tcW w:type="dxa" w:w="2160"/>
          </w:tcPr>
          <w:p>
            <w:r/>
            <w:r>
              <w:rPr>
                <w:sz w:val="17"/>
              </w:rPr>
              <w:t>Biomarkers &amp; biological embedding</w:t>
            </w:r>
          </w:p>
        </w:tc>
      </w:tr>
      <w:tr>
        <w:tc>
          <w:tcPr>
            <w:tcW w:type="dxa" w:w="2160"/>
          </w:tcPr>
          <w:p>
            <w:r/>
            <w:r>
              <w:rPr>
                <w:sz w:val="17"/>
              </w:rPr>
              <w:t>AH-075</w:t>
            </w:r>
          </w:p>
        </w:tc>
        <w:tc>
          <w:tcPr>
            <w:tcW w:type="dxa" w:w="2160"/>
          </w:tcPr>
          <w:p>
            <w:r/>
            <w:r>
              <w:rPr>
                <w:sz w:val="17"/>
              </w:rPr>
              <w:t>Chelsea Farrell, Gregory M. Zimmerman (2018). Is Exposure to Violence a Persistent Risk Factor for Offending across the Life Course? Examining the Contemporaneous, Acute, Enduring, and Long-term Consequences of Exposure to Violence on Property Crime, Violent Offending, and Substance Use. Journal of Research in Crime and Delinquency. https://doi.org/10.1177/0022427818785207</w:t>
            </w:r>
          </w:p>
        </w:tc>
        <w:tc>
          <w:tcPr>
            <w:tcW w:type="dxa" w:w="2160"/>
          </w:tcPr>
          <w:p>
            <w:r/>
            <w:r>
              <w:rPr>
                <w:sz w:val="17"/>
              </w:rPr>
              <w:t>T1</w:t>
            </w:r>
          </w:p>
        </w:tc>
        <w:tc>
          <w:tcPr>
            <w:tcW w:type="dxa" w:w="2160"/>
          </w:tcPr>
          <w:p>
            <w:r/>
            <w:r>
              <w:rPr>
                <w:sz w:val="17"/>
              </w:rPr>
              <w:t>Community &amp; street violence exposure</w:t>
            </w:r>
          </w:p>
        </w:tc>
      </w:tr>
      <w:tr>
        <w:tc>
          <w:tcPr>
            <w:tcW w:type="dxa" w:w="2160"/>
          </w:tcPr>
          <w:p>
            <w:r/>
            <w:r>
              <w:rPr>
                <w:sz w:val="17"/>
              </w:rPr>
              <w:t>AH-076</w:t>
            </w:r>
          </w:p>
        </w:tc>
        <w:tc>
          <w:tcPr>
            <w:tcW w:type="dxa" w:w="2160"/>
          </w:tcPr>
          <w:p>
            <w:r/>
            <w:r>
              <w:rPr>
                <w:sz w:val="17"/>
              </w:rPr>
              <w:t>Julie L. Kuper, Jillian J. Turanovic (2019). Adjustment Problems in Early Adulthood Among Victims of Childhood Physical Abuse: A Focus on Adolescent Risk and Protective Factors. Crime &amp; Delinquency. https://doi.org/10.1177/0011128719850499</w:t>
            </w:r>
          </w:p>
        </w:tc>
        <w:tc>
          <w:tcPr>
            <w:tcW w:type="dxa" w:w="2160"/>
          </w:tcPr>
          <w:p>
            <w:r/>
            <w:r>
              <w:rPr>
                <w:sz w:val="17"/>
              </w:rPr>
              <w:t>T3</w:t>
            </w:r>
          </w:p>
        </w:tc>
        <w:tc>
          <w:tcPr>
            <w:tcW w:type="dxa" w:w="2160"/>
          </w:tcPr>
          <w:p>
            <w:r/>
            <w:r>
              <w:rPr>
                <w:sz w:val="17"/>
              </w:rPr>
              <w:t>Measurement (CES-D) &amp; causal-inference methods</w:t>
            </w:r>
          </w:p>
        </w:tc>
      </w:tr>
      <w:tr>
        <w:tc>
          <w:tcPr>
            <w:tcW w:type="dxa" w:w="2160"/>
          </w:tcPr>
          <w:p>
            <w:r/>
            <w:r>
              <w:rPr>
                <w:sz w:val="17"/>
              </w:rPr>
              <w:t>AH-077</w:t>
            </w:r>
          </w:p>
        </w:tc>
        <w:tc>
          <w:tcPr>
            <w:tcW w:type="dxa" w:w="2160"/>
          </w:tcPr>
          <w:p>
            <w:r/>
            <w:r>
              <w:rPr>
                <w:sz w:val="17"/>
              </w:rPr>
              <w:t>Ping Chen, Kathleen Mullan Harris (2019). Association of Positive Family Relationships With Mental Health Trajectories From Adolescence to Midlife. JAMA Pediatrics. https://doi.org/10.1001/jamapediatrics.2019.3336</w:t>
            </w:r>
          </w:p>
        </w:tc>
        <w:tc>
          <w:tcPr>
            <w:tcW w:type="dxa" w:w="2160"/>
          </w:tcPr>
          <w:p>
            <w:r/>
            <w:r>
              <w:rPr>
                <w:sz w:val="17"/>
              </w:rPr>
              <w:t>T2</w:t>
            </w:r>
          </w:p>
        </w:tc>
        <w:tc>
          <w:tcPr>
            <w:tcW w:type="dxa" w:w="2160"/>
          </w:tcPr>
          <w:p>
            <w:r/>
            <w:r>
              <w:rPr>
                <w:sz w:val="17"/>
              </w:rPr>
              <w:t>Moderators &amp; protective factors</w:t>
            </w:r>
          </w:p>
        </w:tc>
      </w:tr>
      <w:tr>
        <w:tc>
          <w:tcPr>
            <w:tcW w:type="dxa" w:w="2160"/>
          </w:tcPr>
          <w:p>
            <w:r/>
            <w:r>
              <w:rPr>
                <w:sz w:val="17"/>
              </w:rPr>
              <w:t>AH-078</w:t>
            </w:r>
          </w:p>
        </w:tc>
        <w:tc>
          <w:tcPr>
            <w:tcW w:type="dxa" w:w="2160"/>
          </w:tcPr>
          <w:p>
            <w:r/>
            <w:r>
              <w:rPr>
                <w:sz w:val="17"/>
              </w:rPr>
              <w:t>Kathleen Mullan Harris, Carolyn Tucker Halpern, Eric A Whitsel, Jon M Hussey, Ley A Killeya-Jones, Joyce Tabor, Sarah C Dean (2019). Cohort Profile: The National Longitudinal Study of Adolescent to Adult Health (Add Health). International Journal of Epidemiology. https://doi.org/10.1093/ije/dyz115</w:t>
            </w:r>
          </w:p>
        </w:tc>
        <w:tc>
          <w:tcPr>
            <w:tcW w:type="dxa" w:w="2160"/>
          </w:tcPr>
          <w:p>
            <w:r/>
            <w:r>
              <w:rPr>
                <w:sz w:val="17"/>
              </w:rPr>
              <w:t>T3</w:t>
            </w:r>
          </w:p>
        </w:tc>
        <w:tc>
          <w:tcPr>
            <w:tcW w:type="dxa" w:w="2160"/>
          </w:tcPr>
          <w:p>
            <w:r/>
            <w:r>
              <w:rPr>
                <w:sz w:val="17"/>
              </w:rPr>
              <w:t>Measurement (CES-D) &amp; causal-inference methods</w:t>
            </w:r>
          </w:p>
        </w:tc>
      </w:tr>
      <w:tr>
        <w:tc>
          <w:tcPr>
            <w:tcW w:type="dxa" w:w="2160"/>
          </w:tcPr>
          <w:p>
            <w:r/>
            <w:r>
              <w:rPr>
                <w:sz w:val="17"/>
              </w:rPr>
              <w:t>AH-081</w:t>
            </w:r>
          </w:p>
        </w:tc>
        <w:tc>
          <w:tcPr>
            <w:tcW w:type="dxa" w:w="2160"/>
          </w:tcPr>
          <w:p>
            <w:r/>
            <w:r>
              <w:rPr>
                <w:sz w:val="17"/>
              </w:rPr>
              <w:t>Christine T. Dawson, Carly E. Milliren, S. V. Subramanian, Erin C. Dunn, Tracy K. Richmond (2019). Parental-perceived neighborhood characteristics and adolescent health: Associations by sex and race/ethnicity. Journal of Community Psychology. https://doi.org/10.1002/jcop.22205</w:t>
            </w:r>
          </w:p>
        </w:tc>
        <w:tc>
          <w:tcPr>
            <w:tcW w:type="dxa" w:w="2160"/>
          </w:tcPr>
          <w:p>
            <w:r/>
            <w:r>
              <w:rPr>
                <w:sz w:val="17"/>
              </w:rPr>
              <w:t>T2</w:t>
            </w:r>
          </w:p>
        </w:tc>
        <w:tc>
          <w:tcPr>
            <w:tcW w:type="dxa" w:w="2160"/>
          </w:tcPr>
          <w:p>
            <w:r/>
            <w:r>
              <w:rPr>
                <w:sz w:val="17"/>
              </w:rPr>
              <w:t>Neighborhood / contextual disadvantage &amp; mental health</w:t>
            </w:r>
          </w:p>
        </w:tc>
      </w:tr>
      <w:tr>
        <w:tc>
          <w:tcPr>
            <w:tcW w:type="dxa" w:w="2160"/>
          </w:tcPr>
          <w:p>
            <w:r/>
            <w:r>
              <w:rPr>
                <w:sz w:val="17"/>
              </w:rPr>
              <w:t>AH-082</w:t>
            </w:r>
          </w:p>
        </w:tc>
        <w:tc>
          <w:tcPr>
            <w:tcW w:type="dxa" w:w="2160"/>
          </w:tcPr>
          <w:p>
            <w:r/>
            <w:r>
              <w:rPr>
                <w:sz w:val="17"/>
              </w:rPr>
              <w:t>Christine T. Dawson, Erin C. Dunn, Carly E. Milliren, S. V. Subramanian, Tracy K. Richmond (2019). Perceived neighborhood social cohesion moderates the relationship between neighborhood structural disadvantage and adolescent depressive symptoms. Health &amp; Place. https://doi.org/10.1016/j.healthplace.2019.01.001</w:t>
            </w:r>
          </w:p>
        </w:tc>
        <w:tc>
          <w:tcPr>
            <w:tcW w:type="dxa" w:w="2160"/>
          </w:tcPr>
          <w:p>
            <w:r/>
            <w:r>
              <w:rPr>
                <w:sz w:val="17"/>
              </w:rPr>
              <w:t>T2</w:t>
            </w:r>
          </w:p>
        </w:tc>
        <w:tc>
          <w:tcPr>
            <w:tcW w:type="dxa" w:w="2160"/>
          </w:tcPr>
          <w:p>
            <w:r/>
            <w:r>
              <w:rPr>
                <w:sz w:val="17"/>
              </w:rPr>
              <w:t>Neighborhood / contextual disadvantage &amp; mental health</w:t>
            </w:r>
          </w:p>
        </w:tc>
      </w:tr>
      <w:tr>
        <w:tc>
          <w:tcPr>
            <w:tcW w:type="dxa" w:w="2160"/>
          </w:tcPr>
          <w:p>
            <w:r/>
            <w:r>
              <w:rPr>
                <w:sz w:val="17"/>
              </w:rPr>
              <w:t>AH-086</w:t>
            </w:r>
          </w:p>
        </w:tc>
        <w:tc>
          <w:tcPr>
            <w:tcW w:type="dxa" w:w="2160"/>
          </w:tcPr>
          <w:p>
            <w:r/>
            <w:r>
              <w:rPr>
                <w:sz w:val="17"/>
              </w:rPr>
              <w:t>Ping Chen, Kathleen Mullan Harris (2020). Guidelines for Analyzing Add Health Data. Carolina Population Center, University of North Carolina at Chapel Hill. https://doi.org/10.17615/C6BW8W4</w:t>
            </w:r>
          </w:p>
        </w:tc>
        <w:tc>
          <w:tcPr>
            <w:tcW w:type="dxa" w:w="2160"/>
          </w:tcPr>
          <w:p>
            <w:r/>
            <w:r>
              <w:rPr>
                <w:sz w:val="17"/>
              </w:rPr>
              <w:t>T3</w:t>
            </w:r>
          </w:p>
        </w:tc>
        <w:tc>
          <w:tcPr>
            <w:tcW w:type="dxa" w:w="2160"/>
          </w:tcPr>
          <w:p>
            <w:r/>
            <w:r>
              <w:rPr>
                <w:sz w:val="17"/>
              </w:rPr>
              <w:t>Measurement (CES-D) &amp; causal-inference methods</w:t>
            </w:r>
          </w:p>
        </w:tc>
      </w:tr>
      <w:tr>
        <w:tc>
          <w:tcPr>
            <w:tcW w:type="dxa" w:w="2160"/>
          </w:tcPr>
          <w:p>
            <w:r/>
            <w:r>
              <w:rPr>
                <w:sz w:val="17"/>
              </w:rPr>
              <w:t>AH-091</w:t>
            </w:r>
          </w:p>
        </w:tc>
        <w:tc>
          <w:tcPr>
            <w:tcW w:type="dxa" w:w="2160"/>
          </w:tcPr>
          <w:p>
            <w:r/>
            <w:r>
              <w:rPr>
                <w:sz w:val="17"/>
              </w:rPr>
              <w:t>Emily Spivey, Brooke Nodeland (2020). The Victim-Offender Overlap in Intimate Partner Violence: Considering the Role of Self-control. Deviant Behavior. https://doi.org/10.1080/01639625.2020.1821259</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AH-096</w:t>
            </w:r>
          </w:p>
        </w:tc>
        <w:tc>
          <w:tcPr>
            <w:tcW w:type="dxa" w:w="2160"/>
          </w:tcPr>
          <w:p>
            <w:r/>
            <w:r>
              <w:rPr>
                <w:sz w:val="17"/>
              </w:rPr>
              <w:t>Joanne M. Kaufman, Christine M. Walsh (2021). The Effects of Adolescent and Early Adulthood Intimate Partner Violence on Adult Socioeconomic Well-being. Sociological Quarterly. https://doi.org/10.1080/00380253.2021.1953414</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AH-101</w:t>
            </w:r>
          </w:p>
        </w:tc>
        <w:tc>
          <w:tcPr>
            <w:tcW w:type="dxa" w:w="2160"/>
          </w:tcPr>
          <w:p>
            <w:r/>
            <w:r>
              <w:rPr>
                <w:sz w:val="17"/>
              </w:rPr>
              <w:t>Julie L. Kuper, Jillian J. Turanovic (2022). Trauma Made in America: The Consequences of Violent Victimization for Immigrant Youth in Early Adulthood. Journal of Research on Adolescence. https://doi.org/10.1111/jora.12718</w:t>
            </w:r>
          </w:p>
        </w:tc>
        <w:tc>
          <w:tcPr>
            <w:tcW w:type="dxa" w:w="2160"/>
          </w:tcPr>
          <w:p>
            <w:r/>
            <w:r>
              <w:rPr>
                <w:sz w:val="17"/>
              </w:rPr>
              <w:t>T1</w:t>
            </w:r>
          </w:p>
        </w:tc>
        <w:tc>
          <w:tcPr>
            <w:tcW w:type="dxa" w:w="2160"/>
          </w:tcPr>
          <w:p>
            <w:r/>
            <w:r>
              <w:rPr>
                <w:sz w:val="17"/>
              </w:rPr>
              <w:t>Other Add Health victimization, IPV &amp; health studies</w:t>
            </w:r>
          </w:p>
        </w:tc>
      </w:tr>
      <w:tr>
        <w:tc>
          <w:tcPr>
            <w:tcW w:type="dxa" w:w="2160"/>
          </w:tcPr>
          <w:p>
            <w:r/>
            <w:r>
              <w:rPr>
                <w:sz w:val="17"/>
              </w:rPr>
              <w:t>AH-108</w:t>
            </w:r>
          </w:p>
        </w:tc>
        <w:tc>
          <w:tcPr>
            <w:tcW w:type="dxa" w:w="2160"/>
          </w:tcPr>
          <w:p>
            <w:r/>
            <w:r>
              <w:rPr>
                <w:sz w:val="17"/>
              </w:rPr>
              <w:t>Add Health (2024). Wave V Fatal and Non-Fatal Police Shootings User Guide. Carolina Population Center, University of North Carolina at Chapel Hill</w:t>
            </w:r>
          </w:p>
        </w:tc>
        <w:tc>
          <w:tcPr>
            <w:tcW w:type="dxa" w:w="2160"/>
          </w:tcPr>
          <w:p>
            <w:r/>
            <w:r>
              <w:rPr>
                <w:sz w:val="17"/>
              </w:rPr>
              <w:t>T3</w:t>
            </w:r>
          </w:p>
        </w:tc>
        <w:tc>
          <w:tcPr>
            <w:tcW w:type="dxa" w:w="2160"/>
          </w:tcPr>
          <w:p>
            <w:r/>
            <w:r>
              <w:rPr>
                <w:sz w:val="17"/>
              </w:rPr>
              <w:t>Measurement (CES-D) &amp; causal-inference methods</w:t>
            </w:r>
          </w:p>
        </w:tc>
      </w:tr>
      <w:tr>
        <w:tc>
          <w:tcPr>
            <w:tcW w:type="dxa" w:w="2160"/>
          </w:tcPr>
          <w:p>
            <w:r/>
            <w:r>
              <w:rPr>
                <w:sz w:val="17"/>
              </w:rPr>
              <w:t>AH-109</w:t>
            </w:r>
          </w:p>
        </w:tc>
        <w:tc>
          <w:tcPr>
            <w:tcW w:type="dxa" w:w="2160"/>
          </w:tcPr>
          <w:p>
            <w:r/>
            <w:r>
              <w:rPr>
                <w:sz w:val="17"/>
              </w:rPr>
              <w:t>Molly M. Jacobs, Anne V. Kirby, Jessica M. Kramer, Nicole M. Marlow (2025). A machine learning analysis of suicidal ideation and suicide attempt among U.S. youth and young adults from multilevel, longitudinal survey data. Frontiers in Psychiatry. https://doi.org/10.3389/fpsyt.2025.1511966</w:t>
            </w:r>
          </w:p>
        </w:tc>
        <w:tc>
          <w:tcPr>
            <w:tcW w:type="dxa" w:w="2160"/>
          </w:tcPr>
          <w:p>
            <w:r/>
            <w:r>
              <w:rPr>
                <w:sz w:val="17"/>
              </w:rPr>
              <w:t>T3</w:t>
            </w:r>
          </w:p>
        </w:tc>
        <w:tc>
          <w:tcPr>
            <w:tcW w:type="dxa" w:w="2160"/>
          </w:tcPr>
          <w:p>
            <w:r/>
            <w:r>
              <w:rPr>
                <w:sz w:val="17"/>
              </w:rPr>
              <w:t>Measurement (CES-D) &amp; causal-inference methods</w:t>
            </w:r>
          </w:p>
        </w:tc>
      </w:tr>
      <w:tr>
        <w:tc>
          <w:tcPr>
            <w:tcW w:type="dxa" w:w="2160"/>
          </w:tcPr>
          <w:p>
            <w:r/>
            <w:r>
              <w:rPr>
                <w:sz w:val="17"/>
              </w:rPr>
              <w:t>AH-113</w:t>
            </w:r>
          </w:p>
        </w:tc>
        <w:tc>
          <w:tcPr>
            <w:tcW w:type="dxa" w:w="2160"/>
          </w:tcPr>
          <w:p>
            <w:r/>
            <w:r>
              <w:rPr>
                <w:sz w:val="17"/>
              </w:rPr>
              <w:t>Add Health (2025). Wave V City Crime Rate Data User Guide. Carolina Population Center, University of North Carolina at Chapel Hill</w:t>
            </w:r>
          </w:p>
        </w:tc>
        <w:tc>
          <w:tcPr>
            <w:tcW w:type="dxa" w:w="2160"/>
          </w:tcPr>
          <w:p>
            <w:r/>
            <w:r>
              <w:rPr>
                <w:sz w:val="17"/>
              </w:rPr>
              <w:t>T3</w:t>
            </w:r>
          </w:p>
        </w:tc>
        <w:tc>
          <w:tcPr>
            <w:tcW w:type="dxa" w:w="2160"/>
          </w:tcPr>
          <w:p>
            <w:r/>
            <w:r>
              <w:rPr>
                <w:sz w:val="17"/>
              </w:rPr>
              <w:t>Measurement (CES-D) &amp; causal-inference methods</w:t>
            </w:r>
          </w:p>
        </w:tc>
      </w:tr>
    </w:tbl>
    <w:p>
      <w:r>
        <w:br w:type="page"/>
      </w:r>
    </w:p>
    <w:p>
      <w:pPr>
        <w:pStyle w:val="Heading1"/>
      </w:pPr>
      <w:r>
        <w:t>Synthesis by domain</w:t>
      </w:r>
    </w:p>
    <w:p>
      <w:pPr>
        <w:pStyle w:val="Heading2"/>
      </w:pPr>
      <w:r>
        <w:t>Neighborhood / contextual disadvantage &amp; mental health</w:t>
      </w:r>
    </w:p>
    <w:p>
      <w:r>
        <w:rPr>
          <w:b w:val="0"/>
          <w:i w:val="0"/>
          <w:color w:val="1B2230"/>
          <w:sz w:val="20"/>
        </w:rPr>
        <w:t>Nineteen Add Health studies establish that neighborhood and school socioeconomic disadvantage, perceived hazards, and structural context (including historical redlining) are associated with adolescent depressive symptoms. The recurring methodological finding is that perceived and structural context both matter, but school context often rivals or exceeds neighborhood context (Dunn 2015; Coley 2018; Huang 2020). Crucially, every verified study measures context as perceived hazards, census disadvantage, collective efficacy, or redlining — none links a repeated administrative violent-crime rate to wave-specific depressive symptoms.</w:t>
      </w:r>
    </w:p>
    <w:p>
      <w:pPr>
        <w:pStyle w:val="Heading2"/>
      </w:pPr>
      <w:r>
        <w:t>Community &amp; street violence exposure</w:t>
      </w:r>
    </w:p>
    <w:p>
      <w:r>
        <w:rPr>
          <w:b w:val="0"/>
          <w:i w:val="0"/>
          <w:color w:val="1B2230"/>
          <w:sz w:val="20"/>
        </w:rPr>
        <w:t>Eight studies link self-reported community/street violence exposure and witnessing to internalizing symptoms and depression, generally using prospective longitudinal regression across Waves I–III. They rely on self-reported exposure rather than objective area crime, and rarely isolate within-person change.</w:t>
      </w:r>
    </w:p>
    <w:p>
      <w:pPr>
        <w:pStyle w:val="Heading2"/>
      </w:pPr>
      <w:r>
        <w:t>Victimization consequences &amp; fixed-effects/sibling designs</w:t>
      </w:r>
    </w:p>
    <w:p>
      <w:r>
        <w:rPr>
          <w:b w:val="0"/>
          <w:i w:val="0"/>
          <w:color w:val="1B2230"/>
          <w:sz w:val="20"/>
        </w:rPr>
        <w:t>Ten studies form the strongest precedent cluster. Pearson (2025) establishes individual fixed-effects estimation of weapon victimization→depression; Jaffee et al. (2023) establishes cumulative sibling fixed-effects; Kim &amp; Park (2026) adds asymmetric fixed effects; Russell (2016) documents age-varying effects; Turanovic (2019) documents heterogeneity; Semenza (2021) documents victimization trajectories. Together they pre-empt any first-fixed-effects, first-sibling, first-timing, or first-persistence claim — but all use individual self-reported victimization, not administrative area crime.</w:t>
      </w:r>
    </w:p>
    <w:p>
      <w:pPr>
        <w:pStyle w:val="Heading2"/>
      </w:pPr>
      <w:r>
        <w:t>Moderators &amp; protective factors</w:t>
      </w:r>
    </w:p>
    <w:p>
      <w:r>
        <w:rPr>
          <w:b w:val="0"/>
          <w:i w:val="0"/>
          <w:color w:val="1B2230"/>
          <w:sz w:val="20"/>
        </w:rPr>
        <w:t>Twelve studies test protective/moderating factors — family and parental connectedness (Resnick 1997; Aceves 2006), school connectedness (Henrich 2005; Brookmeyer 2006), religiosity (Nooney 2005; Petts 2008; Fruehwirth 2019, the strongest causal design via peer-religiosity IV), and community involvement (Hull 2008). Buffering hypotheses are well established for self-reported exposure and depression, so moderator novelty must come from applying them to objective contextual crime.</w:t>
      </w:r>
    </w:p>
    <w:p>
      <w:pPr>
        <w:pStyle w:val="Heading2"/>
      </w:pPr>
      <w:r>
        <w:t>Measurement (CES-D) &amp; causal-inference methods</w:t>
      </w:r>
    </w:p>
    <w:p>
      <w:r>
        <w:rPr>
          <w:b w:val="0"/>
          <w:i w:val="0"/>
          <w:color w:val="1B2230"/>
          <w:sz w:val="20"/>
        </w:rPr>
        <w:t>Thirteen measurement/methods studies anchor causal-inference and CES-D issues: cross-race CES-D non-invariance (Perreira 2005; Harry 2018), contextual-data modeling (Christ 2014), analytic guidelines (Chen &amp; Harris 2020), and modern causal estimators — doubly-robust estimation (Dulce Rubio 2025) and trajectory-model evaluation (Dennis 2025). These supply the identification and measurement scaffolding but do not themselves stake substantive novelty.</w:t>
      </w:r>
    </w:p>
    <w:p>
      <w:pPr>
        <w:pStyle w:val="Heading2"/>
      </w:pPr>
      <w:r>
        <w:t>Biomarkers &amp; biological embedding</w:t>
      </w:r>
    </w:p>
    <w:p>
      <w:r>
        <w:rPr>
          <w:b w:val="0"/>
          <w:i w:val="0"/>
          <w:color w:val="1B2230"/>
          <w:sz w:val="20"/>
        </w:rPr>
        <w:t>Nine biomarker studies (the HFG extension domain) show social adversity and incarceration predict inflammation/CRP (Boen 2020), gene-regulation disparities (Cole 2020), cardiometabolic risk (Schwartz 2020; Koning 2024), and weathering (Hargrove 2020). CRP from Wave IV dried blood spots is well used. The specific community-violence→CRP design with race×poverty moderation is the biggest unresolved precedent threat (see quarantined CRP dissertation).</w:t>
      </w:r>
    </w:p>
    <w:p>
      <w:pPr>
        <w:pStyle w:val="Heading2"/>
      </w:pPr>
      <w:r>
        <w:t>Depression / mental health as predictor of later behavior</w:t>
      </w:r>
    </w:p>
    <w:p>
      <w:r>
        <w:rPr>
          <w:b w:val="0"/>
          <w:i w:val="0"/>
          <w:color w:val="1B2230"/>
          <w:sz w:val="20"/>
        </w:rPr>
        <w:t>The reverse pathway — depression predicting later crime — is directly occupied by Anderson, Cesur &amp; Tekin (2015), which finds robust effects concentrated in specific behaviors rather than a broad depression→violence link. Any Paper-3 claim must be framed as extension (distinct outcome or joint exposure), not discovery.</w:t>
      </w:r>
    </w:p>
    <w:p>
      <w:pPr>
        <w:pStyle w:val="Heading2"/>
      </w:pPr>
      <w:r>
        <w:t>Prediction &amp; machine learning</w:t>
      </w:r>
    </w:p>
    <w:p>
      <w:r>
        <w:rPr>
          <w:b w:val="0"/>
          <w:i w:val="0"/>
          <w:color w:val="1B2230"/>
          <w:sz w:val="20"/>
        </w:rPr>
        <w:t>Three prediction/ML studies (Van Voorhees 2008 CADRA; Geurgas 2025; Ramezani 2026) already predict depression across the life course in Add Health. Algorithmic novelty is weak; defensible value lies in whether validated crime exposure adds temporally-honest, out-of-sample predictive information beyond prior symptoms.</w:t>
      </w:r>
    </w:p>
    <w:p>
      <w:pPr>
        <w:pStyle w:val="Heading2"/>
      </w:pPr>
      <w:r>
        <w:t>Other Add Health victimization, IPV &amp; health studies</w:t>
      </w:r>
    </w:p>
    <w:p>
      <w:r>
        <w:rPr>
          <w:b w:val="0"/>
          <w:i w:val="0"/>
          <w:color w:val="1B2230"/>
          <w:sz w:val="20"/>
        </w:rPr>
        <w:t>Thirty-two additional Add Health victimization, IPV, sleep, and health studies (largely Tier 2/3) map the broader consequences literature (Turanovic, Warner, Kuhl, Farrell, Fox, Semenza, Testa), confirming saturation of the self-reported victimization→outcome space.</w:t>
      </w:r>
    </w:p>
    <w:p>
      <w:pPr>
        <w:pStyle w:val="Heading1"/>
      </w:pPr>
      <w:r>
        <w:t>Evidence gaps</w:t>
      </w:r>
    </w:p>
    <w:p>
      <w:pPr>
        <w:pStyle w:val="ListBullet"/>
      </w:pPr>
      <w:r>
        <w:rPr>
          <w:sz w:val="20"/>
        </w:rPr>
        <w:t>No administrative area-crime exposure. Across 108 verified Add Health studies, contextual exposure is measured as perceived hazards, census disadvantage, collective efficacy, or redlining — never as a repeated administrative violent-crime rate linked to interview waves. This is the dissertation's clearest open space.</w:t>
      </w:r>
    </w:p>
    <w:p>
      <w:pPr>
        <w:pStyle w:val="ListBullet"/>
      </w:pPr>
      <w:r>
        <w:rPr>
          <w:sz w:val="20"/>
        </w:rPr>
        <w:t>Exposure–outcome timing is under-specified. Studies rarely align exposure windows to the CES-D recall period; short pre-interview windows vs. cumulative inter-wave averages are largely untested for contextual crime.</w:t>
      </w:r>
    </w:p>
    <w:p>
      <w:pPr>
        <w:pStyle w:val="ListBullet"/>
      </w:pPr>
      <w:r>
        <w:rPr>
          <w:sz w:val="20"/>
        </w:rPr>
        <w:t>Within-person contextual change is unexamined. Individual and sibling fixed effects exist for self-reported victimization (Pearson; Jaffee; Kim &amp; Park) but not for area-level crime exposure.</w:t>
      </w:r>
    </w:p>
    <w:p>
      <w:pPr>
        <w:pStyle w:val="ListBullet"/>
      </w:pPr>
      <w:r>
        <w:rPr>
          <w:sz w:val="20"/>
        </w:rPr>
        <w:t>Geographic aggregation. County-level crime may erase local variation; no Add Health study validates a county administrative measure against finer geography for mental-health outcomes.</w:t>
      </w:r>
    </w:p>
    <w:p>
      <w:pPr>
        <w:pStyle w:val="ListBullet"/>
      </w:pPr>
      <w:r>
        <w:rPr>
          <w:sz w:val="20"/>
        </w:rPr>
        <w:t>Biomarker precedence is unresolved. A community-violence→CRP design with race×poverty moderation appears to exist (quarantined dissertation) and must be verified before any biomarker novelty claim.</w:t>
      </w:r>
    </w:p>
    <w:p>
      <w:pPr>
        <w:pStyle w:val="ListBullet"/>
      </w:pPr>
      <w:r>
        <w:rPr>
          <w:sz w:val="20"/>
        </w:rPr>
        <w:t>Prediction vs. causation are conflated in prior ML work. Incremental, temporally-validated predictive value of crime beyond prior symptoms is not established.</w:t>
      </w:r>
    </w:p>
    <w:p>
      <w:r>
        <w:br w:type="page"/>
      </w:r>
    </w:p>
    <w:p>
      <w:pPr>
        <w:pStyle w:val="Heading1"/>
      </w:pPr>
      <w:r>
        <w:t>Dissertation novelty audit</w:t>
      </w:r>
    </w:p>
    <w:p>
      <w:r>
        <w:rPr>
          <w:b w:val="0"/>
          <w:i/>
          <w:color w:val="7C879B"/>
          <w:sz w:val="19"/>
        </w:rPr>
        <w:t>Each proposed contribution mapped to its closest verified Add Health precedent, with a decision and defensible framing.</w:t>
      </w:r>
    </w:p>
    <w:p>
      <w:r>
        <w:rPr>
          <w:b/>
          <w:color w:val="1B2230"/>
          <w:sz w:val="21"/>
        </w:rPr>
        <w:t>Objective area-level violent crime → depressive symptoms</w:t>
      </w:r>
      <w:r>
        <w:rPr>
          <w:b/>
          <w:color w:val="28405C"/>
          <w:sz w:val="17"/>
        </w:rPr>
        <w:t xml:space="preserve">   [MEANINGFUL EXTENSION]</w:t>
      </w:r>
    </w:p>
    <w:p>
      <w:pPr>
        <w:ind w:left="360"/>
      </w:pPr>
      <w:r>
        <w:rPr>
          <w:b/>
          <w:color w:val="7C879B"/>
          <w:sz w:val="18"/>
        </w:rPr>
        <w:t xml:space="preserve">Closest verified precedent: </w:t>
      </w:r>
      <w:r>
        <w:rPr>
          <w:sz w:val="18"/>
        </w:rPr>
        <w:t>AH-111 Pearson (2025) — individual FE weapon victimization→depression</w:t>
      </w:r>
    </w:p>
    <w:p>
      <w:pPr>
        <w:spacing w:after="160"/>
        <w:ind w:left="360"/>
      </w:pPr>
      <w:r>
        <w:rPr>
          <w:b/>
          <w:color w:val="7C879B"/>
          <w:sz w:val="18"/>
        </w:rPr>
        <w:t xml:space="preserve">Recommended framing: </w:t>
      </w:r>
      <w:r>
        <w:rPr>
          <w:i/>
          <w:sz w:val="18"/>
        </w:rPr>
        <w:t>Prior exposure is individual self-report, not administrative area crime; lead with measurement + estimand, not a first-ever violence–depression claim.</w:t>
      </w:r>
    </w:p>
    <w:p>
      <w:r>
        <w:rPr>
          <w:b/>
          <w:color w:val="1B2230"/>
          <w:sz w:val="21"/>
        </w:rPr>
        <w:t>County-level violent crime linked across waves</w:t>
      </w:r>
      <w:r>
        <w:rPr>
          <w:b/>
          <w:color w:val="2F6F66"/>
          <w:sz w:val="17"/>
        </w:rPr>
        <w:t xml:space="preserve">   [NOVEL]</w:t>
      </w:r>
    </w:p>
    <w:p>
      <w:pPr>
        <w:ind w:left="360"/>
      </w:pPr>
      <w:r>
        <w:rPr>
          <w:b/>
          <w:color w:val="7C879B"/>
          <w:sz w:val="18"/>
        </w:rPr>
        <w:t xml:space="preserve">Closest verified precedent: </w:t>
      </w:r>
      <w:r>
        <w:rPr>
          <w:sz w:val="18"/>
        </w:rPr>
        <w:t>No verified Add Health precedent (AH-001, the prior 'closest', is excluded — LA County, not Add Health)</w:t>
      </w:r>
    </w:p>
    <w:p>
      <w:pPr>
        <w:spacing w:after="160"/>
        <w:ind w:left="360"/>
      </w:pPr>
      <w:r>
        <w:rPr>
          <w:b/>
          <w:color w:val="7C879B"/>
          <w:sz w:val="18"/>
        </w:rPr>
        <w:t xml:space="preserve">Recommended framing: </w:t>
      </w:r>
      <w:r>
        <w:rPr>
          <w:i/>
          <w:sz w:val="18"/>
        </w:rPr>
        <w:t>No retrieved Add Health study links repeated county violent-crime rates to depressive symptoms across interviews. Validate the county construct; avoid calling it 'neighborhood' crime.</w:t>
      </w:r>
    </w:p>
    <w:p>
      <w:r>
        <w:rPr>
          <w:b/>
          <w:color w:val="1B2230"/>
          <w:sz w:val="21"/>
        </w:rPr>
        <w:t>Inter-wave crime averages aligned to interviews</w:t>
      </w:r>
      <w:r>
        <w:rPr>
          <w:b/>
          <w:color w:val="28405C"/>
          <w:sz w:val="17"/>
        </w:rPr>
        <w:t xml:space="preserve">   [MEANINGFUL EXTENSION]</w:t>
      </w:r>
    </w:p>
    <w:p>
      <w:pPr>
        <w:ind w:left="360"/>
      </w:pPr>
      <w:r>
        <w:rPr>
          <w:b/>
          <w:color w:val="7C879B"/>
          <w:sz w:val="18"/>
        </w:rPr>
        <w:t xml:space="preserve">Closest verified precedent: </w:t>
      </w:r>
      <w:r>
        <w:rPr>
          <w:sz w:val="18"/>
        </w:rPr>
        <w:t>AH-113 Wave V City Crime Rate User Guide (data resource)</w:t>
      </w:r>
    </w:p>
    <w:p>
      <w:pPr>
        <w:spacing w:after="160"/>
        <w:ind w:left="360"/>
      </w:pPr>
      <w:r>
        <w:rPr>
          <w:b/>
          <w:color w:val="7C879B"/>
          <w:sz w:val="18"/>
        </w:rPr>
        <w:t xml:space="preserve">Recommended framing: </w:t>
      </w:r>
      <w:r>
        <w:rPr>
          <w:i/>
          <w:sz w:val="18"/>
        </w:rPr>
        <w:t>Pre-specify short pre-interview windows and compare with inter-wave averages against the CES-D recall period.</w:t>
      </w:r>
    </w:p>
    <w:p>
      <w:r>
        <w:rPr>
          <w:b/>
          <w:color w:val="1B2230"/>
          <w:sz w:val="21"/>
        </w:rPr>
        <w:t>Within-person crime–depression analysis</w:t>
      </w:r>
      <w:r>
        <w:rPr>
          <w:b/>
          <w:color w:val="28405C"/>
          <w:sz w:val="17"/>
        </w:rPr>
        <w:t xml:space="preserve">   [MEANINGFUL EXTENSION]</w:t>
      </w:r>
    </w:p>
    <w:p>
      <w:pPr>
        <w:ind w:left="360"/>
      </w:pPr>
      <w:r>
        <w:rPr>
          <w:b/>
          <w:color w:val="7C879B"/>
          <w:sz w:val="18"/>
        </w:rPr>
        <w:t xml:space="preserve">Closest verified precedent: </w:t>
      </w:r>
      <w:r>
        <w:rPr>
          <w:sz w:val="18"/>
        </w:rPr>
        <w:t>AH-111 Pearson (2025)</w:t>
      </w:r>
    </w:p>
    <w:p>
      <w:pPr>
        <w:spacing w:after="160"/>
        <w:ind w:left="360"/>
      </w:pPr>
      <w:r>
        <w:rPr>
          <w:b/>
          <w:color w:val="7C879B"/>
          <w:sz w:val="18"/>
        </w:rPr>
        <w:t xml:space="preserve">Recommended framing: </w:t>
      </w:r>
      <w:r>
        <w:rPr>
          <w:i/>
          <w:sz w:val="18"/>
        </w:rPr>
        <w:t>The within-person design is not novel; its application to repeated administrative county crime is the extension.</w:t>
      </w:r>
    </w:p>
    <w:p>
      <w:r>
        <w:rPr>
          <w:b/>
          <w:color w:val="1B2230"/>
          <w:sz w:val="21"/>
        </w:rPr>
        <w:t>Individual fixed effects</w:t>
      </w:r>
      <w:r>
        <w:rPr>
          <w:b/>
          <w:color w:val="B23A48"/>
          <w:sz w:val="17"/>
        </w:rPr>
        <w:t xml:space="preserve">   [SUBSTANTIALLY OVERLAPPING]</w:t>
      </w:r>
    </w:p>
    <w:p>
      <w:pPr>
        <w:ind w:left="360"/>
      </w:pPr>
      <w:r>
        <w:rPr>
          <w:b/>
          <w:color w:val="7C879B"/>
          <w:sz w:val="18"/>
        </w:rPr>
        <w:t xml:space="preserve">Closest verified precedent: </w:t>
      </w:r>
      <w:r>
        <w:rPr>
          <w:sz w:val="18"/>
        </w:rPr>
        <w:t>AH-111 Pearson (2025)</w:t>
      </w:r>
    </w:p>
    <w:p>
      <w:pPr>
        <w:spacing w:after="160"/>
        <w:ind w:left="360"/>
      </w:pPr>
      <w:r>
        <w:rPr>
          <w:b/>
          <w:color w:val="7C879B"/>
          <w:sz w:val="18"/>
        </w:rPr>
        <w:t xml:space="preserve">Recommended framing: </w:t>
      </w:r>
      <w:r>
        <w:rPr>
          <w:i/>
          <w:sz w:val="18"/>
        </w:rPr>
        <w:t>Remove any novelty claim based on fixed effects alone.</w:t>
      </w:r>
    </w:p>
    <w:p>
      <w:r>
        <w:rPr>
          <w:b/>
          <w:color w:val="1B2230"/>
          <w:sz w:val="21"/>
        </w:rPr>
        <w:t>Lagged FE controlling prior depression</w:t>
      </w:r>
      <w:r>
        <w:rPr>
          <w:b/>
          <w:color w:val="28405C"/>
          <w:sz w:val="17"/>
        </w:rPr>
        <w:t xml:space="preserve">   [MEANINGFUL EXTENSION]</w:t>
      </w:r>
    </w:p>
    <w:p>
      <w:pPr>
        <w:ind w:left="360"/>
      </w:pPr>
      <w:r>
        <w:rPr>
          <w:b/>
          <w:color w:val="7C879B"/>
          <w:sz w:val="18"/>
        </w:rPr>
        <w:t xml:space="preserve">Closest verified precedent: </w:t>
      </w:r>
      <w:r>
        <w:rPr>
          <w:sz w:val="18"/>
        </w:rPr>
        <w:t>AH-117 Kim &amp; Park (2026)</w:t>
      </w:r>
    </w:p>
    <w:p>
      <w:pPr>
        <w:spacing w:after="160"/>
        <w:ind w:left="360"/>
      </w:pPr>
      <w:r>
        <w:rPr>
          <w:b/>
          <w:color w:val="7C879B"/>
          <w:sz w:val="18"/>
        </w:rPr>
        <w:t xml:space="preserve">Recommended framing: </w:t>
      </w:r>
      <w:r>
        <w:rPr>
          <w:i/>
          <w:sz w:val="18"/>
        </w:rPr>
        <w:t>Specify the dynamic-panel estimand; address Nickell bias / short-panel limits; treat as sensitivity, not a causal upgrade.</w:t>
      </w:r>
    </w:p>
    <w:p>
      <w:r>
        <w:rPr>
          <w:b/>
          <w:color w:val="1B2230"/>
          <w:sz w:val="21"/>
        </w:rPr>
        <w:t>Sibling / twin fixed effects</w:t>
      </w:r>
      <w:r>
        <w:rPr>
          <w:b/>
          <w:color w:val="B23A48"/>
          <w:sz w:val="17"/>
        </w:rPr>
        <w:t xml:space="preserve">   [SUBSTANTIALLY OVERLAPPING]</w:t>
      </w:r>
    </w:p>
    <w:p>
      <w:pPr>
        <w:ind w:left="360"/>
      </w:pPr>
      <w:r>
        <w:rPr>
          <w:b/>
          <w:color w:val="7C879B"/>
          <w:sz w:val="18"/>
        </w:rPr>
        <w:t xml:space="preserve">Closest verified precedent: </w:t>
      </w:r>
      <w:r>
        <w:rPr>
          <w:sz w:val="18"/>
        </w:rPr>
        <w:t>AH-103 Jaffee et al. (2023); AH-095 Connolly twin (2022)</w:t>
      </w:r>
    </w:p>
    <w:p>
      <w:pPr>
        <w:spacing w:after="160"/>
        <w:ind w:left="360"/>
      </w:pPr>
      <w:r>
        <w:rPr>
          <w:b/>
          <w:color w:val="7C879B"/>
          <w:sz w:val="18"/>
        </w:rPr>
        <w:t xml:space="preserve">Recommended framing: </w:t>
      </w:r>
      <w:r>
        <w:rPr>
          <w:i/>
          <w:sz w:val="18"/>
        </w:rPr>
        <w:t>Use for triangulation under a different confounding structure; the sibling design itself is not novel.</w:t>
      </w:r>
    </w:p>
    <w:p>
      <w:r>
        <w:rPr>
          <w:b/>
          <w:color w:val="1B2230"/>
          <w:sz w:val="21"/>
        </w:rPr>
        <w:t>Difference-in-Differences of crime shifts</w:t>
      </w:r>
      <w:r>
        <w:rPr>
          <w:b/>
          <w:color w:val="B23A48"/>
          <w:sz w:val="17"/>
        </w:rPr>
        <w:t xml:space="preserve">   [NOT FEASIBLE / NOT DEFENSIBLE unless a real shock exists]</w:t>
      </w:r>
    </w:p>
    <w:p>
      <w:pPr>
        <w:ind w:left="360"/>
      </w:pPr>
      <w:r>
        <w:rPr>
          <w:b/>
          <w:color w:val="7C879B"/>
          <w:sz w:val="18"/>
        </w:rPr>
        <w:t xml:space="preserve">Closest verified precedent: </w:t>
      </w:r>
      <w:r>
        <w:rPr>
          <w:sz w:val="18"/>
        </w:rPr>
        <w:t>No verified Add Health precedent</w:t>
      </w:r>
    </w:p>
    <w:p>
      <w:pPr>
        <w:spacing w:after="160"/>
        <w:ind w:left="360"/>
      </w:pPr>
      <w:r>
        <w:rPr>
          <w:b/>
          <w:color w:val="7C879B"/>
          <w:sz w:val="18"/>
        </w:rPr>
        <w:t xml:space="preserve">Recommended framing: </w:t>
      </w:r>
      <w:r>
        <w:rPr>
          <w:i/>
          <w:sz w:val="18"/>
        </w:rPr>
        <w:t>Present only with a substantively defined exogenous crime shock, treatment timing, pre-trend support, and a modern staggered-adoption estimator.</w:t>
      </w:r>
    </w:p>
    <w:p>
      <w:r>
        <w:rPr>
          <w:b/>
          <w:color w:val="1B2230"/>
          <w:sz w:val="21"/>
        </w:rPr>
        <w:t>Developmental timing by age band</w:t>
      </w:r>
      <w:r>
        <w:rPr>
          <w:b/>
          <w:color w:val="B23A48"/>
          <w:sz w:val="17"/>
        </w:rPr>
        <w:t xml:space="preserve">   [SUBSTANTIALLY OVERLAPPING]</w:t>
      </w:r>
    </w:p>
    <w:p>
      <w:pPr>
        <w:ind w:left="360"/>
      </w:pPr>
      <w:r>
        <w:rPr>
          <w:b/>
          <w:color w:val="7C879B"/>
          <w:sz w:val="18"/>
        </w:rPr>
        <w:t xml:space="preserve">Closest verified precedent: </w:t>
      </w:r>
      <w:r>
        <w:rPr>
          <w:sz w:val="18"/>
        </w:rPr>
        <w:t>AH-057 Russell (2016) — age-varying effects</w:t>
      </w:r>
    </w:p>
    <w:p>
      <w:pPr>
        <w:spacing w:after="160"/>
        <w:ind w:left="360"/>
      </w:pPr>
      <w:r>
        <w:rPr>
          <w:b/>
          <w:color w:val="7C879B"/>
          <w:sz w:val="18"/>
        </w:rPr>
        <w:t xml:space="preserve">Recommended framing: </w:t>
      </w:r>
      <w:r>
        <w:rPr>
          <w:i/>
          <w:sz w:val="18"/>
        </w:rPr>
        <w:t>Test whether age-varying patterns for self-reported violence generalize to administrative county crime.</w:t>
      </w:r>
    </w:p>
    <w:p>
      <w:r>
        <w:rPr>
          <w:b/>
          <w:color w:val="1B2230"/>
          <w:sz w:val="21"/>
        </w:rPr>
        <w:t>Sensitive-period analysis</w:t>
      </w:r>
      <w:r>
        <w:rPr>
          <w:b/>
          <w:color w:val="28405C"/>
          <w:sz w:val="17"/>
        </w:rPr>
        <w:t xml:space="preserve">   [INCREMENTAL EXTENSION]</w:t>
      </w:r>
    </w:p>
    <w:p>
      <w:pPr>
        <w:ind w:left="360"/>
      </w:pPr>
      <w:r>
        <w:rPr>
          <w:b/>
          <w:color w:val="7C879B"/>
          <w:sz w:val="18"/>
        </w:rPr>
        <w:t xml:space="preserve">Closest verified precedent: </w:t>
      </w:r>
      <w:r>
        <w:rPr>
          <w:sz w:val="18"/>
        </w:rPr>
        <w:t>AH-057 Russell (2016)</w:t>
      </w:r>
    </w:p>
    <w:p>
      <w:pPr>
        <w:spacing w:after="160"/>
        <w:ind w:left="360"/>
      </w:pPr>
      <w:r>
        <w:rPr>
          <w:b/>
          <w:color w:val="7C879B"/>
          <w:sz w:val="18"/>
        </w:rPr>
        <w:t xml:space="preserve">Recommended framing: </w:t>
      </w:r>
      <w:r>
        <w:rPr>
          <w:i/>
          <w:sz w:val="18"/>
        </w:rPr>
        <w:t>Compare pre-specified developmental windows; do not relabel arbitrary age bins as sensitive periods.</w:t>
      </w:r>
    </w:p>
    <w:p>
      <w:r>
        <w:rPr>
          <w:b/>
          <w:color w:val="1B2230"/>
          <w:sz w:val="21"/>
        </w:rPr>
        <w:t>Cumulative exposure-years</w:t>
      </w:r>
      <w:r>
        <w:rPr>
          <w:b/>
          <w:color w:val="28405C"/>
          <w:sz w:val="17"/>
        </w:rPr>
        <w:t xml:space="preserve">   [MEANINGFUL EXTENSION]</w:t>
      </w:r>
    </w:p>
    <w:p>
      <w:pPr>
        <w:ind w:left="360"/>
      </w:pPr>
      <w:r>
        <w:rPr>
          <w:b/>
          <w:color w:val="7C879B"/>
          <w:sz w:val="18"/>
        </w:rPr>
        <w:t xml:space="preserve">Closest verified precedent: </w:t>
      </w:r>
      <w:r>
        <w:rPr>
          <w:sz w:val="18"/>
        </w:rPr>
        <w:t>AH-103 Jaffee et al. (2023)</w:t>
      </w:r>
    </w:p>
    <w:p>
      <w:pPr>
        <w:spacing w:after="160"/>
        <w:ind w:left="360"/>
      </w:pPr>
      <w:r>
        <w:rPr>
          <w:b/>
          <w:color w:val="7C879B"/>
          <w:sz w:val="18"/>
        </w:rPr>
        <w:t xml:space="preserve">Recommended framing: </w:t>
      </w:r>
      <w:r>
        <w:rPr>
          <w:i/>
          <w:sz w:val="18"/>
        </w:rPr>
        <w:t>The extension is a cumulative administrative context measure, not cumulative violence exposure in general.</w:t>
      </w:r>
    </w:p>
    <w:p>
      <w:r>
        <w:rPr>
          <w:b/>
          <w:color w:val="1B2230"/>
          <w:sz w:val="21"/>
        </w:rPr>
        <w:t>Persistent vs. transient exposure</w:t>
      </w:r>
      <w:r>
        <w:rPr>
          <w:b/>
          <w:color w:val="28405C"/>
          <w:sz w:val="17"/>
        </w:rPr>
        <w:t xml:space="preserve">   [INCREMENTAL EXTENSION]</w:t>
      </w:r>
    </w:p>
    <w:p>
      <w:pPr>
        <w:ind w:left="360"/>
      </w:pPr>
      <w:r>
        <w:rPr>
          <w:b/>
          <w:color w:val="7C879B"/>
          <w:sz w:val="18"/>
        </w:rPr>
        <w:t xml:space="preserve">Closest verified precedent: </w:t>
      </w:r>
      <w:r>
        <w:rPr>
          <w:sz w:val="18"/>
        </w:rPr>
        <w:t>AH-097 Semenza et al. (2021) — victimization trajectories</w:t>
      </w:r>
    </w:p>
    <w:p>
      <w:pPr>
        <w:spacing w:after="160"/>
        <w:ind w:left="360"/>
      </w:pPr>
      <w:r>
        <w:rPr>
          <w:b/>
          <w:color w:val="7C879B"/>
          <w:sz w:val="18"/>
        </w:rPr>
        <w:t xml:space="preserve">Recommended framing: </w:t>
      </w:r>
      <w:r>
        <w:rPr>
          <w:i/>
          <w:sz w:val="18"/>
        </w:rPr>
        <w:t>Prefer transparent duration/recency measures over data-driven classes unless classes replicate.</w:t>
      </w:r>
    </w:p>
    <w:p>
      <w:r>
        <w:rPr>
          <w:b/>
          <w:color w:val="1B2230"/>
          <w:sz w:val="21"/>
        </w:rPr>
        <w:t>Family-connection moderation</w:t>
      </w:r>
      <w:r>
        <w:rPr>
          <w:b/>
          <w:color w:val="28405C"/>
          <w:sz w:val="17"/>
        </w:rPr>
        <w:t xml:space="preserve">   [INCREMENTAL EXTENSION]</w:t>
      </w:r>
    </w:p>
    <w:p>
      <w:pPr>
        <w:ind w:left="360"/>
      </w:pPr>
      <w:r>
        <w:rPr>
          <w:b/>
          <w:color w:val="7C879B"/>
          <w:sz w:val="18"/>
        </w:rPr>
        <w:t xml:space="preserve">Closest verified precedent: </w:t>
      </w:r>
      <w:r>
        <w:rPr>
          <w:sz w:val="18"/>
        </w:rPr>
        <w:t>AH-019 Aceves &amp; Cookston (2006)</w:t>
      </w:r>
    </w:p>
    <w:p>
      <w:pPr>
        <w:spacing w:after="160"/>
        <w:ind w:left="360"/>
      </w:pPr>
      <w:r>
        <w:rPr>
          <w:b/>
          <w:color w:val="7C879B"/>
          <w:sz w:val="18"/>
        </w:rPr>
        <w:t xml:space="preserve">Recommended framing: </w:t>
      </w:r>
      <w:r>
        <w:rPr>
          <w:i/>
          <w:sz w:val="18"/>
        </w:rPr>
        <w:t>Frame as replication/extension to objective contextual crime and depression.</w:t>
      </w:r>
    </w:p>
    <w:p>
      <w:r>
        <w:rPr>
          <w:b/>
          <w:color w:val="1B2230"/>
          <w:sz w:val="21"/>
        </w:rPr>
        <w:t>Peer-risk moderation</w:t>
      </w:r>
      <w:r>
        <w:rPr>
          <w:b/>
          <w:color w:val="28405C"/>
          <w:sz w:val="17"/>
        </w:rPr>
        <w:t xml:space="preserve">   [INCREMENTAL EXTENSION]</w:t>
      </w:r>
    </w:p>
    <w:p>
      <w:pPr>
        <w:ind w:left="360"/>
      </w:pPr>
      <w:r>
        <w:rPr>
          <w:b/>
          <w:color w:val="7C879B"/>
          <w:sz w:val="18"/>
        </w:rPr>
        <w:t xml:space="preserve">Closest verified precedent: </w:t>
      </w:r>
      <w:r>
        <w:rPr>
          <w:sz w:val="18"/>
        </w:rPr>
        <w:t>AH-006 Schreck &amp; Fisher (2004)</w:t>
      </w:r>
    </w:p>
    <w:p>
      <w:pPr>
        <w:spacing w:after="160"/>
        <w:ind w:left="360"/>
      </w:pPr>
      <w:r>
        <w:rPr>
          <w:b/>
          <w:color w:val="7C879B"/>
          <w:sz w:val="18"/>
        </w:rPr>
        <w:t xml:space="preserve">Recommended framing: </w:t>
      </w:r>
      <w:r>
        <w:rPr>
          <w:i/>
          <w:sz w:val="18"/>
        </w:rPr>
        <w:t>Separate confounding, mediation, and moderation roles for peers.</w:t>
      </w:r>
    </w:p>
    <w:p>
      <w:r>
        <w:rPr>
          <w:b/>
          <w:color w:val="1B2230"/>
          <w:sz w:val="21"/>
        </w:rPr>
        <w:t>Neighborhood-poverty moderation</w:t>
      </w:r>
      <w:r>
        <w:rPr>
          <w:b/>
          <w:color w:val="B23A48"/>
          <w:sz w:val="17"/>
        </w:rPr>
        <w:t xml:space="preserve">   [SUBSTANTIALLY OVERLAPPING (if verified)]</w:t>
      </w:r>
    </w:p>
    <w:p>
      <w:pPr>
        <w:ind w:left="360"/>
      </w:pPr>
      <w:r>
        <w:rPr>
          <w:b/>
          <w:color w:val="7C879B"/>
          <w:sz w:val="18"/>
        </w:rPr>
        <w:t xml:space="preserve">Closest verified precedent: </w:t>
      </w:r>
      <w:r>
        <w:rPr>
          <w:sz w:val="18"/>
        </w:rPr>
        <w:t>AH-119 CRP dissertation (QUARANTINED — verify)</w:t>
      </w:r>
    </w:p>
    <w:p>
      <w:pPr>
        <w:spacing w:after="160"/>
        <w:ind w:left="360"/>
      </w:pPr>
      <w:r>
        <w:rPr>
          <w:b/>
          <w:color w:val="7C879B"/>
          <w:sz w:val="18"/>
        </w:rPr>
        <w:t xml:space="preserve">Recommended framing: </w:t>
      </w:r>
      <w:r>
        <w:rPr>
          <w:i/>
          <w:sz w:val="18"/>
        </w:rPr>
        <w:t>Obtain and verify the dissertation before any biomarker/poverty-moderation novelty claim.</w:t>
      </w:r>
    </w:p>
    <w:p>
      <w:r>
        <w:rPr>
          <w:b/>
          <w:color w:val="1B2230"/>
          <w:sz w:val="21"/>
        </w:rPr>
        <w:t>School-connectedness moderation</w:t>
      </w:r>
      <w:r>
        <w:rPr>
          <w:b/>
          <w:color w:val="28405C"/>
          <w:sz w:val="17"/>
        </w:rPr>
        <w:t xml:space="preserve">   [INCREMENTAL EXTENSION]</w:t>
      </w:r>
    </w:p>
    <w:p>
      <w:pPr>
        <w:ind w:left="360"/>
      </w:pPr>
      <w:r>
        <w:rPr>
          <w:b/>
          <w:color w:val="7C879B"/>
          <w:sz w:val="18"/>
        </w:rPr>
        <w:t xml:space="preserve">Closest verified precedent: </w:t>
      </w:r>
      <w:r>
        <w:rPr>
          <w:sz w:val="18"/>
        </w:rPr>
        <w:t>AH-012 Henrich (2005); AH-016 Brookmeyer (2006)</w:t>
      </w:r>
    </w:p>
    <w:p>
      <w:pPr>
        <w:spacing w:after="160"/>
        <w:ind w:left="360"/>
      </w:pPr>
      <w:r>
        <w:rPr>
          <w:b/>
          <w:color w:val="7C879B"/>
          <w:sz w:val="18"/>
        </w:rPr>
        <w:t xml:space="preserve">Recommended framing: </w:t>
      </w:r>
      <w:r>
        <w:rPr>
          <w:i/>
          <w:sz w:val="18"/>
        </w:rPr>
        <w:t>New element is buffering of area-crime→depression, not school connectedness as a protective factor.</w:t>
      </w:r>
    </w:p>
    <w:p>
      <w:r>
        <w:rPr>
          <w:b/>
          <w:color w:val="1B2230"/>
          <w:sz w:val="21"/>
        </w:rPr>
        <w:t>Religious-attendance moderation</w:t>
      </w:r>
      <w:r>
        <w:rPr>
          <w:b/>
          <w:color w:val="B23A48"/>
          <w:sz w:val="17"/>
        </w:rPr>
        <w:t xml:space="preserve">   [SUBSTANTIALLY OVERLAPPING]</w:t>
      </w:r>
    </w:p>
    <w:p>
      <w:pPr>
        <w:ind w:left="360"/>
      </w:pPr>
      <w:r>
        <w:rPr>
          <w:b/>
          <w:color w:val="7C879B"/>
          <w:sz w:val="18"/>
        </w:rPr>
        <w:t xml:space="preserve">Closest verified precedent: </w:t>
      </w:r>
      <w:r>
        <w:rPr>
          <w:sz w:val="18"/>
        </w:rPr>
        <w:t>AH-010 Nooney (2005); AH-028 Petts (2008); AH-083 Fruehwirth (2019)</w:t>
      </w:r>
    </w:p>
    <w:p>
      <w:pPr>
        <w:spacing w:after="160"/>
        <w:ind w:left="360"/>
      </w:pPr>
      <w:r>
        <w:rPr>
          <w:b/>
          <w:color w:val="7C879B"/>
          <w:sz w:val="18"/>
        </w:rPr>
        <w:t xml:space="preserve">Recommended framing: </w:t>
      </w:r>
      <w:r>
        <w:rPr>
          <w:i/>
          <w:sz w:val="18"/>
        </w:rPr>
        <w:t>Established correlate; use a focused theory and correct for multiple testing.</w:t>
      </w:r>
    </w:p>
    <w:p>
      <w:r>
        <w:rPr>
          <w:b/>
          <w:color w:val="1B2230"/>
          <w:sz w:val="21"/>
        </w:rPr>
        <w:t>School-proximity moderation</w:t>
      </w:r>
      <w:r>
        <w:rPr>
          <w:b/>
          <w:color w:val="28405C"/>
          <w:sz w:val="17"/>
        </w:rPr>
        <w:t xml:space="preserve">   [MEANINGFUL EXTENSION]</w:t>
      </w:r>
    </w:p>
    <w:p>
      <w:pPr>
        <w:ind w:left="360"/>
      </w:pPr>
      <w:r>
        <w:rPr>
          <w:b/>
          <w:color w:val="7C879B"/>
          <w:sz w:val="18"/>
        </w:rPr>
        <w:t xml:space="preserve">Closest verified precedent: </w:t>
      </w:r>
      <w:r>
        <w:rPr>
          <w:sz w:val="18"/>
        </w:rPr>
        <w:t>AH-051 Dunn (2015)</w:t>
      </w:r>
    </w:p>
    <w:p>
      <w:pPr>
        <w:spacing w:after="160"/>
        <w:ind w:left="360"/>
      </w:pPr>
      <w:r>
        <w:rPr>
          <w:b/>
          <w:color w:val="7C879B"/>
          <w:sz w:val="18"/>
        </w:rPr>
        <w:t xml:space="preserve">Recommended framing: </w:t>
      </w:r>
      <w:r>
        <w:rPr>
          <w:i/>
          <w:sz w:val="18"/>
        </w:rPr>
        <w:t>Use school–neighborhood contextual discordance, not crude distance; county crime is too coarse for a proximity claim.</w:t>
      </w:r>
    </w:p>
    <w:p>
      <w:r>
        <w:rPr>
          <w:b/>
          <w:color w:val="1B2230"/>
          <w:sz w:val="21"/>
        </w:rPr>
        <w:t>Race×gender×poverty heterogeneity</w:t>
      </w:r>
      <w:r>
        <w:rPr>
          <w:b/>
          <w:color w:val="28405C"/>
          <w:sz w:val="17"/>
        </w:rPr>
        <w:t xml:space="preserve">   [MEANINGFUL EXTENSION]</w:t>
      </w:r>
    </w:p>
    <w:p>
      <w:pPr>
        <w:ind w:left="360"/>
      </w:pPr>
      <w:r>
        <w:rPr>
          <w:b/>
          <w:color w:val="7C879B"/>
          <w:sz w:val="18"/>
        </w:rPr>
        <w:t xml:space="preserve">Closest verified precedent: </w:t>
      </w:r>
      <w:r>
        <w:rPr>
          <w:sz w:val="18"/>
        </w:rPr>
        <w:t>AH-073 Turanovic (2019)</w:t>
      </w:r>
    </w:p>
    <w:p>
      <w:pPr>
        <w:spacing w:after="160"/>
        <w:ind w:left="360"/>
      </w:pPr>
      <w:r>
        <w:rPr>
          <w:b/>
          <w:color w:val="7C879B"/>
          <w:sz w:val="18"/>
        </w:rPr>
        <w:t xml:space="preserve">Recommended framing: </w:t>
      </w:r>
      <w:r>
        <w:rPr>
          <w:i/>
          <w:sz w:val="18"/>
        </w:rPr>
        <w:t>Pre-specify contrasts; report uncertainty; use partial pooling to avoid subgroup fishing.</w:t>
      </w:r>
    </w:p>
    <w:p>
      <w:r>
        <w:rPr>
          <w:b/>
          <w:color w:val="1B2230"/>
          <w:sz w:val="21"/>
        </w:rPr>
        <w:t>Depression → later violence</w:t>
      </w:r>
      <w:r>
        <w:rPr>
          <w:b/>
          <w:color w:val="B23A48"/>
          <w:sz w:val="17"/>
        </w:rPr>
        <w:t xml:space="preserve">   [SUBSTANTIALLY OVERLAPPING]</w:t>
      </w:r>
    </w:p>
    <w:p>
      <w:pPr>
        <w:ind w:left="360"/>
      </w:pPr>
      <w:r>
        <w:rPr>
          <w:b/>
          <w:color w:val="7C879B"/>
          <w:sz w:val="18"/>
        </w:rPr>
        <w:t xml:space="preserve">Closest verified precedent: </w:t>
      </w:r>
      <w:r>
        <w:rPr>
          <w:sz w:val="18"/>
        </w:rPr>
        <w:t>AH-056 Anderson et al. (2015)</w:t>
      </w:r>
    </w:p>
    <w:p>
      <w:pPr>
        <w:spacing w:after="160"/>
        <w:ind w:left="360"/>
      </w:pPr>
      <w:r>
        <w:rPr>
          <w:b/>
          <w:color w:val="7C879B"/>
          <w:sz w:val="18"/>
        </w:rPr>
        <w:t xml:space="preserve">Recommended framing: </w:t>
      </w:r>
      <w:r>
        <w:rPr>
          <w:i/>
          <w:sz w:val="18"/>
        </w:rPr>
        <w:t>Already studied; value must come from a distinct outcome definition or joint exposure estimand.</w:t>
      </w:r>
    </w:p>
    <w:p>
      <w:r>
        <w:rPr>
          <w:b/>
          <w:color w:val="1B2230"/>
          <w:sz w:val="21"/>
        </w:rPr>
        <w:t>Joint crime &amp; depression → later violence</w:t>
      </w:r>
      <w:r>
        <w:rPr>
          <w:b/>
          <w:color w:val="28405C"/>
          <w:sz w:val="17"/>
        </w:rPr>
        <w:t xml:space="preserve">   [MEANINGFUL EXTENSION]</w:t>
      </w:r>
    </w:p>
    <w:p>
      <w:pPr>
        <w:ind w:left="360"/>
      </w:pPr>
      <w:r>
        <w:rPr>
          <w:b/>
          <w:color w:val="7C879B"/>
          <w:sz w:val="18"/>
        </w:rPr>
        <w:t xml:space="preserve">Closest verified precedent: </w:t>
      </w:r>
      <w:r>
        <w:rPr>
          <w:sz w:val="18"/>
        </w:rPr>
        <w:t>AH-056 Anderson et al. (2015)</w:t>
      </w:r>
    </w:p>
    <w:p>
      <w:pPr>
        <w:spacing w:after="160"/>
        <w:ind w:left="360"/>
      </w:pPr>
      <w:r>
        <w:rPr>
          <w:b/>
          <w:color w:val="7C879B"/>
          <w:sz w:val="18"/>
        </w:rPr>
        <w:t xml:space="preserve">Recommended framing: </w:t>
      </w:r>
      <w:r>
        <w:rPr>
          <w:i/>
          <w:sz w:val="18"/>
        </w:rPr>
        <w:t>Define the estimand (interaction / mediation / joint exposure); avoid mixing causal and predictive claims.</w:t>
      </w:r>
    </w:p>
    <w:p>
      <w:r>
        <w:rPr>
          <w:b/>
          <w:color w:val="1B2230"/>
          <w:sz w:val="21"/>
        </w:rPr>
        <w:t>Victimization as a later outcome</w:t>
      </w:r>
      <w:r>
        <w:rPr>
          <w:b/>
          <w:color w:val="B23A48"/>
          <w:sz w:val="17"/>
        </w:rPr>
        <w:t xml:space="preserve">   [SUBSTANTIALLY OVERLAPPING]</w:t>
      </w:r>
    </w:p>
    <w:p>
      <w:pPr>
        <w:ind w:left="360"/>
      </w:pPr>
      <w:r>
        <w:rPr>
          <w:b/>
          <w:color w:val="7C879B"/>
          <w:sz w:val="18"/>
        </w:rPr>
        <w:t xml:space="preserve">Closest verified precedent: </w:t>
      </w:r>
      <w:r>
        <w:rPr>
          <w:sz w:val="18"/>
        </w:rPr>
        <w:t>AH-052 Turanovic &amp; Pratt (2015); AH-073 Turanovic (2019)</w:t>
      </w:r>
    </w:p>
    <w:p>
      <w:pPr>
        <w:spacing w:after="160"/>
        <w:ind w:left="360"/>
      </w:pPr>
      <w:r>
        <w:rPr>
          <w:b/>
          <w:color w:val="7C879B"/>
          <w:sz w:val="18"/>
        </w:rPr>
        <w:t xml:space="preserve">Recommended framing: </w:t>
      </w:r>
      <w:r>
        <w:rPr>
          <w:i/>
          <w:sz w:val="18"/>
        </w:rPr>
        <w:t>Specify a narrower outcome or a clearly defined joint crime–depression pathway.</w:t>
      </w:r>
    </w:p>
    <w:p>
      <w:r>
        <w:rPr>
          <w:b/>
          <w:color w:val="1B2230"/>
          <w:sz w:val="21"/>
        </w:rPr>
        <w:t>CRP / IL-6 / allostatic load</w:t>
      </w:r>
      <w:r>
        <w:rPr>
          <w:b/>
          <w:color w:val="28405C"/>
          <w:sz w:val="17"/>
        </w:rPr>
        <w:t xml:space="preserve">   [MEANINGFUL EXTENSION]</w:t>
      </w:r>
    </w:p>
    <w:p>
      <w:pPr>
        <w:ind w:left="360"/>
      </w:pPr>
      <w:r>
        <w:rPr>
          <w:b/>
          <w:color w:val="7C879B"/>
          <w:sz w:val="18"/>
        </w:rPr>
        <w:t xml:space="preserve">Closest verified precedent: </w:t>
      </w:r>
      <w:r>
        <w:rPr>
          <w:sz w:val="18"/>
        </w:rPr>
        <w:t>AH-084 Boen (2020); AH-119 (QUARANTINED); AH-088 Cole (2020)</w:t>
      </w:r>
    </w:p>
    <w:p>
      <w:pPr>
        <w:spacing w:after="160"/>
        <w:ind w:left="360"/>
      </w:pPr>
      <w:r>
        <w:rPr>
          <w:b/>
          <w:color w:val="7C879B"/>
          <w:sz w:val="18"/>
        </w:rPr>
        <w:t xml:space="preserve">Recommended framing: </w:t>
      </w:r>
      <w:r>
        <w:rPr>
          <w:i/>
          <w:sz w:val="18"/>
        </w:rPr>
        <w:t>CRP is an overlap/replication domain; IL-6 &amp; allostatic load may extend if exposure timing and biomarker waves align.</w:t>
      </w:r>
    </w:p>
    <w:p>
      <w:r>
        <w:rPr>
          <w:b/>
          <w:color w:val="1B2230"/>
          <w:sz w:val="21"/>
        </w:rPr>
        <w:t>Machine-learning prediction</w:t>
      </w:r>
      <w:r>
        <w:rPr>
          <w:b/>
          <w:color w:val="28405C"/>
          <w:sz w:val="17"/>
        </w:rPr>
        <w:t xml:space="preserve">   [INCREMENTAL EXTENSION]</w:t>
      </w:r>
    </w:p>
    <w:p>
      <w:pPr>
        <w:ind w:left="360"/>
      </w:pPr>
      <w:r>
        <w:rPr>
          <w:b/>
          <w:color w:val="7C879B"/>
          <w:sz w:val="18"/>
        </w:rPr>
        <w:t xml:space="preserve">Closest verified precedent: </w:t>
      </w:r>
      <w:r>
        <w:rPr>
          <w:sz w:val="18"/>
        </w:rPr>
        <w:t>AH-115 Geurgas (2025); AH-116 Ramezani (2026); AH-027 CADRA (2008)</w:t>
      </w:r>
    </w:p>
    <w:p>
      <w:pPr>
        <w:spacing w:after="160"/>
        <w:ind w:left="360"/>
      </w:pPr>
      <w:r>
        <w:rPr>
          <w:b/>
          <w:color w:val="7C879B"/>
          <w:sz w:val="18"/>
        </w:rPr>
        <w:t xml:space="preserve">Recommended framing: </w:t>
      </w:r>
      <w:r>
        <w:rPr>
          <w:i/>
          <w:sz w:val="18"/>
        </w:rPr>
        <w:t>Use temporal holdout and survey-aware evaluation; ML itself is not novel.</w:t>
      </w:r>
    </w:p>
    <w:p>
      <w:r>
        <w:rPr>
          <w:b/>
          <w:color w:val="1B2230"/>
          <w:sz w:val="21"/>
        </w:rPr>
        <w:t>Incremental predictive value of crime beyond prior symptoms</w:t>
      </w:r>
      <w:r>
        <w:rPr>
          <w:b/>
          <w:color w:val="28405C"/>
          <w:sz w:val="17"/>
        </w:rPr>
        <w:t xml:space="preserve">   [MEANINGFUL EXTENSION]</w:t>
      </w:r>
    </w:p>
    <w:p>
      <w:pPr>
        <w:ind w:left="360"/>
      </w:pPr>
      <w:r>
        <w:rPr>
          <w:b/>
          <w:color w:val="7C879B"/>
          <w:sz w:val="18"/>
        </w:rPr>
        <w:t xml:space="preserve">Closest verified precedent: </w:t>
      </w:r>
      <w:r>
        <w:rPr>
          <w:sz w:val="18"/>
        </w:rPr>
        <w:t>AH-115 Geurgas (2025)</w:t>
      </w:r>
    </w:p>
    <w:p>
      <w:pPr>
        <w:spacing w:after="160"/>
        <w:ind w:left="360"/>
      </w:pPr>
      <w:r>
        <w:rPr>
          <w:b/>
          <w:color w:val="7C879B"/>
          <w:sz w:val="18"/>
        </w:rPr>
        <w:t xml:space="preserve">Recommended framing: </w:t>
      </w:r>
      <w:r>
        <w:rPr>
          <w:i/>
          <w:sz w:val="18"/>
        </w:rPr>
        <w:t>Report ΔAUC/ΔR², calibration, and temporal external validation vs. prior symptoms alone.</w:t>
      </w:r>
    </w:p>
    <w:p>
      <w:pPr>
        <w:pStyle w:val="Heading1"/>
      </w:pPr>
      <w:r>
        <w:t>Recommended novelty statement</w:t>
      </w:r>
    </w:p>
    <w:p>
      <w:pPr>
        <w:ind w:left="216" w:right="216"/>
        <w:shd w:fill="EDF1F6"/>
      </w:pPr>
      <w:r>
        <w:rPr>
          <w:color w:val="28405C"/>
          <w:sz w:val="22"/>
        </w:rPr>
        <w:t>Prior Add Health research has linked self-reported violence and victimization to depression using longitudinal, individual fixed-effects, and sibling-comparison designs (Pearson 2025; Jaffee et al. 2023; Kim &amp; Park 2026), and has characterized neighborhood and school context through perceived hazards, socioeconomic disadvantage, and historical redlining. No verified Add Health study, however, links a repeated administrative county violent-crime measure to within-person depressive change across adolescence and adulthood. This dissertation extends the evidence base by doing so — comparing pre-specified developmental and cumulative-exposure estimands, and evaluating the incremental contribution of contextual crime beyond prior symptoms and established individual risks.</w:t>
      </w:r>
    </w:p>
    <w:p/>
    <w:p>
      <w:r>
        <w:rPr>
          <w:i/>
          <w:color w:val="7C879B"/>
          <w:sz w:val="16"/>
        </w:rPr>
        <w:t>Findings sourced from full text (4 studies) or database abstracts/metadata; Tier B listed at citation/design level without findings claimed. No estimates, confidence intervals, or DOIs were fabricated. Quarantined and mixed-sample records require full-text confirmation before inclusion in a committee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2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840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2840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2840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