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Matgarco: Business Structure and Strategic Analysis</w:t>
      </w:r>
    </w:p>
    <w:p>
      <w:pPr>
        <w:pStyle w:val="Heading1"/>
      </w:pPr>
      <w:r>
        <w:t>1. Legal Form and Business Identity</w:t>
      </w:r>
    </w:p>
    <w:p>
      <w:r>
        <w:t>The project is structured as a formal commercial entity to ensure scalability and professional trust within the Egyptian market.</w:t>
      </w:r>
    </w:p>
    <w:p>
      <w:r>
        <w:t>Business Name: Matgarco</w:t>
      </w:r>
    </w:p>
    <w:p>
      <w:r>
        <w:t>Legal Form: Limited Liability Company (LLC)</w:t>
      </w:r>
    </w:p>
    <w:p>
      <w:r>
        <w:t>Business Type: B2B Multi-tenant SaaS (Software as a Service) E-commerce Platform</w:t>
      </w:r>
    </w:p>
    <w:p>
      <w:r>
        <w:t>Registered Address: Business Informatics &amp; Digital Transformation (BIDT) Program, Faculty of Humanities, Commerce and Business Administration, Helwan National University, Cairo, Egypt</w:t>
      </w:r>
    </w:p>
    <w:p>
      <w:r>
        <w:t>Founding Team: A cross-functional team of 6 members from Helwan National University specializing in Business Informatics</w:t>
      </w:r>
    </w:p>
    <w:p>
      <w:r>
        <w:t>Capital Structure: 100% 'Bootstrapped' funding through Personal Savings and 'Sweat Equity' (intellectual property investment by the technical team)</w:t>
      </w:r>
    </w:p>
    <w:p>
      <w:pPr>
        <w:pStyle w:val="Heading1"/>
      </w:pPr>
      <w:r>
        <w:t>1. Matgarco SWOT Analysis</w:t>
      </w:r>
    </w:p>
    <w:p>
      <w:r>
        <w:t>This analysis evaluates the strategic positioning of Matgarco as a 'Business Enabler' for the Egyptian micro-SME sector.</w:t>
      </w:r>
    </w:p>
    <w:p>
      <w:pPr>
        <w:pStyle w:val="Heading2"/>
      </w:pPr>
      <w:r>
        <w:t>Strengths</w:t>
      </w:r>
    </w:p>
    <w:p>
      <w:r>
        <w:t>• Hyper-Localization: Offers EGP-based pricing to shield local merchants from foreign currency volatility.</w:t>
      </w:r>
    </w:p>
    <w:p>
      <w:r>
        <w:t>• Zero-Code Empowerment: A 'Smart Onboarding Wizard' allows non-technical users to launch stores in under 10 minutes without writing code.</w:t>
      </w:r>
    </w:p>
    <w:p>
      <w:r>
        <w:t>• Native AI Integration: Features a built-in Arabic Generative AI for automated product descriptions and SEO-friendly content.</w:t>
      </w:r>
    </w:p>
    <w:p>
      <w:r>
        <w:t>• Integrated Ecosystem: Pre-configured API connectivity with local providers like Fawry/Paymob for payments and Bosta for logistics.</w:t>
      </w:r>
    </w:p>
    <w:p>
      <w:r>
        <w:t>• High Performance: Utilization of Progressive Web App (PWA) technology for a fast, app-like mobile experience.</w:t>
      </w:r>
    </w:p>
    <w:p>
      <w:pPr>
        <w:pStyle w:val="Heading2"/>
      </w:pPr>
      <w:r>
        <w:t>Weaknesses</w:t>
      </w:r>
    </w:p>
    <w:p>
      <w:r>
        <w:t>• Initial Capital Constraints: Reliance on internal savings and 'sweat equity' may limit aggressive initial marketing compared to VC-funded competitors.</w:t>
      </w:r>
    </w:p>
    <w:p>
      <w:r>
        <w:t>• Platform Scope Limitations: Native iOS and Android apps are currently out of scope for the initial phase, focusing only on PWAs.</w:t>
      </w:r>
    </w:p>
    <w:p>
      <w:r>
        <w:t>• New Brand Status: As a startup, Matgarco must build market trust against established global and regional players.</w:t>
      </w:r>
    </w:p>
    <w:p>
      <w:pPr>
        <w:pStyle w:val="Heading2"/>
      </w:pPr>
      <w:r>
        <w:t>Opportunities</w:t>
      </w:r>
    </w:p>
    <w:p>
      <w:r>
        <w:t>• Massive Untapped Market: Egypt has approximately 1.5 million informal social sellers needing professional automation.</w:t>
      </w:r>
    </w:p>
    <w:p>
      <w:r>
        <w:t>• National Alignment: The project aligns with Egypt Vision 2030 regarding 'Digital Transformation' and 'Financial Inclusion'.</w:t>
      </w:r>
    </w:p>
    <w:p>
      <w:r>
        <w:t>• Regional Expansion Potential: Scalable Arabic-first architecture to the wider MENA region (e.g., KSA and UAE).</w:t>
      </w:r>
    </w:p>
    <w:p>
      <w:r>
        <w:t>• Evolving Consumer Behavior: Rapid shift in the Egyptian market from traditional retail to a dynamic digital economy.</w:t>
      </w:r>
    </w:p>
    <w:p>
      <w:pPr>
        <w:pStyle w:val="Heading2"/>
      </w:pPr>
      <w:r>
        <w:t>Threats</w:t>
      </w:r>
    </w:p>
    <w:p>
      <w:r>
        <w:t>• Operational Costs: While pricing is in EGP, server and infrastructure costs are often USD-denominated, posing a risk to margins.</w:t>
      </w:r>
    </w:p>
    <w:p>
      <w:r>
        <w:t>• Established Competitors: Risk of global leaders (Shopify) or regional giants (Salla/Zid) localizing their pricing or features specifically for Egypt.</w:t>
      </w:r>
    </w:p>
    <w:p>
      <w:r>
        <w:t>• Digital Resistance: Merchants accustomed to informal selling via WhatsApp/Facebook may resist moving to a structured, formal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