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Informe de entrega de la fase 6</w:t>
      </w:r>
    </w:p>
    <w:p>
      <w:pPr>
        <w:pStyle w:val="Subtitle"/>
      </w:pPr>
      <w:r>
        <w:t>Pedidos cocina y delivery</w:t>
      </w:r>
    </w:p>
    <w:p>
      <w:r>
        <w:rPr>
          <w:b/>
        </w:rPr>
        <w:t>SISTEMI POS Restaurante</w:t>
      </w:r>
    </w:p>
    <w:p>
      <w:r>
        <w:rPr>
          <w:b w:val="0"/>
        </w:rPr>
        <w:t>Fecha de corte 20 de octubre de 2026</w:t>
      </w:r>
    </w:p>
    <w:p>
      <w:pPr>
        <w:pStyle w:val="Heading2"/>
      </w:pPr>
      <w:r>
        <w:t>Resultado de la entrega</w:t>
      </w:r>
    </w:p>
    <w:p>
      <w:r>
        <w:rPr>
          <w:b w:val="0"/>
        </w:rPr>
        <w:t>El proyecto incorpora el desarrollo del alcance principal ORD-01 a ORD-10: captura y revisión de pedidos, preparación por estación, mesas, entregas y control de reservas, consumos y cancelaciones. La entrega incluye el rediseño de las pantallas y la configuración del menú por sucursal.</w:t>
      </w:r>
    </w:p>
    <w:p>
      <w:r>
        <w:rPr>
          <w:b w:val="0"/>
        </w:rPr>
        <w:t>El módulo permite seguir un pedido desde su borrador hasta la entrega y conserva la información comercial y de inventario necesaria para enlazarlo posteriormente con ventas y pagos. Su implementación reutiliza catálogo, recetas, bodegas, lotes, permisos y movimientos de las fases anteriores.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32"/>
        <w:gridCol w:w="7704"/>
      </w:tblGrid>
      <w:tr>
        <w:trPr>
          <w:tblHeader/>
          <w:cantSplit/>
        </w:trPr>
        <w:tc>
          <w:tcPr>
            <w:tcW w:type="dxa" w:w="22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17324D"/>
          </w:tcPr>
          <w:p>
            <w:pPr>
              <w:spacing w:after="20" w:line="250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Aspecto</w:t>
            </w:r>
          </w:p>
        </w:tc>
        <w:tc>
          <w:tcPr>
            <w:tcW w:type="dxa" w:w="77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17324D"/>
          </w:tcPr>
          <w:p>
            <w:pPr>
              <w:spacing w:after="20" w:line="250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Estado documentado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8"/>
              </w:rPr>
              <w:t>Alcance principal</w:t>
            </w:r>
          </w:p>
        </w:tc>
        <w:tc>
          <w:tcPr>
            <w:tcW w:type="dxa" w:w="77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8"/>
              </w:rPr>
              <w:t>Diez funcionalidades con implementación identificada en el código.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8"/>
              </w:rPr>
              <w:t>Verificación técnica</w:t>
            </w:r>
          </w:p>
        </w:tc>
        <w:tc>
          <w:tcPr>
            <w:tcW w:type="dxa" w:w="77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8"/>
              </w:rPr>
              <w:t>Última compilación registrada: 0 errores y 0 advertencias. JavaScript sin errores de sintaxis en los archivos revisados.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8"/>
              </w:rPr>
              <w:t>Aceptación de operación</w:t>
            </w:r>
          </w:p>
        </w:tc>
        <w:tc>
          <w:tcPr>
            <w:tcW w:type="dxa" w:w="77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8"/>
              </w:rPr>
              <w:t>Pendiente de evidencia funcional, concurrencia, migración ensayada y conciliación.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8"/>
              </w:rPr>
              <w:t>Extras avanzados</w:t>
            </w:r>
          </w:p>
        </w:tc>
        <w:tc>
          <w:tcPr>
            <w:tcW w:type="dxa" w:w="77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8"/>
              </w:rPr>
              <w:t>Interfaz incorporada; algunas integraciones requieren corrección o verificación antes del cierre definitivo.</w:t>
            </w:r>
          </w:p>
        </w:tc>
      </w:tr>
    </w:tbl>
    <w:p>
      <w:pPr>
        <w:spacing w:after="20"/>
      </w:pPr>
    </w:p>
    <w:p>
      <w:pPr>
        <w:pStyle w:val="Heading2"/>
      </w:pPr>
      <w:r>
        <w:t>Propósito del informe</w:t>
      </w:r>
    </w:p>
    <w:p>
      <w:r>
        <w:rPr>
          <w:b w:val="0"/>
        </w:rPr>
        <w:t>Presentar lo entregado respecto de la tabla de fase 6 proporcionada por el usuario, explicar los extras incorporados y dejar un registro verificable del estado de cierre. El informe acredita la entrega de desarrollo; la aceptación operativa debe completarse con los escenarios descritos al final.</w:t>
      </w:r>
    </w:p>
    <w:p>
      <w:r>
        <w:br w:type="page"/>
      </w:r>
    </w:p>
    <w:p>
      <w:pPr>
        <w:pStyle w:val="Heading1"/>
      </w:pPr>
      <w:r>
        <w:t>Cobertura del alcance original</w:t>
      </w:r>
    </w:p>
    <w:p>
      <w:r>
        <w:rPr>
          <w:b w:val="0"/>
        </w:rPr>
        <w:t>Cada fila relaciona la clave del plan con el resultado incorporado. El estado corresponde a revisión de código y documentación; no sustituye la ejecución del criterio de aceptación en una base de prueba.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36"/>
        <w:gridCol w:w="2232"/>
        <w:gridCol w:w="6768"/>
      </w:tblGrid>
      <w:tr>
        <w:trPr>
          <w:tblHeader/>
          <w:cantSplit/>
        </w:trPr>
        <w:tc>
          <w:tcPr>
            <w:tcW w:type="dxa" w:w="93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17324D"/>
          </w:tcPr>
          <w:p>
            <w:pPr>
              <w:spacing w:after="20" w:line="250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Clave</w:t>
            </w:r>
          </w:p>
        </w:tc>
        <w:tc>
          <w:tcPr>
            <w:tcW w:type="dxa" w:w="22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17324D"/>
          </w:tcPr>
          <w:p>
            <w:pPr>
              <w:spacing w:after="20" w:line="250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Entregable</w:t>
            </w:r>
          </w:p>
        </w:tc>
        <w:tc>
          <w:tcPr>
            <w:tcW w:type="dxa" w:w="67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17324D"/>
          </w:tcPr>
          <w:p>
            <w:pPr>
              <w:spacing w:after="20" w:line="250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Resultado incorporado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8"/>
              </w:rPr>
              <w:t>ORD-01</w:t>
            </w:r>
          </w:p>
        </w:tc>
        <w:tc>
          <w:tcPr>
            <w:tcW w:type="dxa" w:w="22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8"/>
              </w:rPr>
              <w:t>Canales y tipos de servicio</w:t>
            </w:r>
          </w:p>
        </w:tc>
        <w:tc>
          <w:tcPr>
            <w:tcW w:type="dxa" w:w="67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8"/>
              </w:rPr>
              <w:t>Canal independiente de salón, llevar o delivery. Sucursal, bodega y referencia externa forman parte del pedido histórico.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8"/>
              </w:rPr>
              <w:t>ORD-02</w:t>
            </w:r>
          </w:p>
        </w:tc>
        <w:tc>
          <w:tcPr>
            <w:tcW w:type="dxa" w:w="22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8"/>
              </w:rPr>
              <w:t>Pedido y comanda</w:t>
            </w:r>
          </w:p>
        </w:tc>
        <w:tc>
          <w:tcPr>
            <w:tcW w:type="dxa" w:w="67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8"/>
              </w:rPr>
              <w:t>Borradores, líneas, revisión, numeración por secuencia y estados hasta entrega o cancelación. Las transiciones se controlan en el servidor.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8"/>
              </w:rPr>
              <w:t>ORD-03</w:t>
            </w:r>
          </w:p>
        </w:tc>
        <w:tc>
          <w:tcPr>
            <w:tcW w:type="dxa" w:w="22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8"/>
              </w:rPr>
              <w:t>Menú por sucursal</w:t>
            </w:r>
          </w:p>
        </w:tc>
        <w:tc>
          <w:tcPr>
            <w:tcW w:type="dxa" w:w="67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8"/>
              </w:rPr>
              <w:t>Carta con secciones propias, fotos, favoritos, precio local y disponibilidad base. Selector buscable de artículos vendibles y estaciones.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8"/>
              </w:rPr>
              <w:t>ORD-04</w:t>
            </w:r>
          </w:p>
        </w:tc>
        <w:tc>
          <w:tcPr>
            <w:tcW w:type="dxa" w:w="22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8"/>
              </w:rPr>
              <w:t>Modificadores y extras</w:t>
            </w:r>
          </w:p>
        </w:tc>
        <w:tc>
          <w:tcPr>
            <w:tcW w:type="dxa" w:w="67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8"/>
              </w:rPr>
              <w:t>Grupos con mínimos y máximos; opciones con precio y componentes adicionales. El pedido enviado conserva la configuración calculada.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8"/>
              </w:rPr>
              <w:t>ORD-05</w:t>
            </w:r>
          </w:p>
        </w:tc>
        <w:tc>
          <w:tcPr>
            <w:tcW w:type="dxa" w:w="22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8"/>
              </w:rPr>
              <w:t>Exclusiones</w:t>
            </w:r>
          </w:p>
        </w:tc>
        <w:tc>
          <w:tcPr>
            <w:tcW w:type="dxa" w:w="67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8"/>
              </w:rPr>
              <w:t>Componentes directos permitidos de la receta activa elaborada al pedido. La exclusión ajusta consumo y conserva precio salvo regla expresa.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8"/>
              </w:rPr>
              <w:t>ORD-06</w:t>
            </w:r>
          </w:p>
        </w:tc>
        <w:tc>
          <w:tcPr>
            <w:tcW w:type="dxa" w:w="22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8"/>
              </w:rPr>
              <w:t>Combos y promociones</w:t>
            </w:r>
          </w:p>
        </w:tc>
        <w:tc>
          <w:tcPr>
            <w:tcW w:type="dxa" w:w="67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8"/>
              </w:rPr>
              <w:t>Paquetes con elecciones, vigencias y promociones por prioridad. Prorrateo del precio y registro del consumo por componente.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8"/>
              </w:rPr>
              <w:t>ORD-07</w:t>
            </w:r>
          </w:p>
        </w:tc>
        <w:tc>
          <w:tcPr>
            <w:tcW w:type="dxa" w:w="22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8"/>
              </w:rPr>
              <w:t>Mesas y salones</w:t>
            </w:r>
          </w:p>
        </w:tc>
        <w:tc>
          <w:tcPr>
            <w:tcW w:type="dxa" w:w="67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8"/>
              </w:rPr>
              <w:t>Áreas, mesas y turnos activos. Apertura, cambio controlado a mesa libre y liberación cuando los pedidos terminan operativamente.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8"/>
              </w:rPr>
              <w:t>ORD-08</w:t>
            </w:r>
          </w:p>
        </w:tc>
        <w:tc>
          <w:tcPr>
            <w:tcW w:type="dxa" w:w="22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8"/>
              </w:rPr>
              <w:t>KDS de cocina</w:t>
            </w:r>
          </w:p>
        </w:tc>
        <w:tc>
          <w:tcPr>
            <w:tcW w:type="dxa" w:w="67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8"/>
              </w:rPr>
              <w:t>Cola por estación y canal; preparación total o parcial, marcado de listo, tiempos y acceso al historial de cambios.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8"/>
              </w:rPr>
              <w:t>ORD-09</w:t>
            </w:r>
          </w:p>
        </w:tc>
        <w:tc>
          <w:tcPr>
            <w:tcW w:type="dxa" w:w="22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8"/>
              </w:rPr>
              <w:t>Delivery operativo</w:t>
            </w:r>
          </w:p>
        </w:tc>
        <w:tc>
          <w:tcPr>
            <w:tcW w:type="dxa" w:w="67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8"/>
              </w:rPr>
              <w:t>Cliente, teléfono, dirección, zona y tarifa. Motorista, ruta, salida, incidencias y confirmación de entrega.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8"/>
              </w:rPr>
              <w:t>ORD-10</w:t>
            </w:r>
          </w:p>
        </w:tc>
        <w:tc>
          <w:tcPr>
            <w:tcW w:type="dxa" w:w="22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8"/>
              </w:rPr>
              <w:t>Cancelación y desperdicio</w:t>
            </w:r>
          </w:p>
        </w:tc>
        <w:tc>
          <w:tcPr>
            <w:tcW w:type="dxa" w:w="67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8"/>
              </w:rPr>
              <w:t>Reserva al enviar, consumo al iniciar preparación, liberación de lo pendiente, merma de lo preparado y retorno intacto autorizado.</w:t>
            </w:r>
          </w:p>
        </w:tc>
      </w:tr>
    </w:tbl>
    <w:p>
      <w:pPr>
        <w:spacing w:after="20"/>
      </w:pPr>
    </w:p>
    <w:p>
      <w:r>
        <w:rPr>
          <w:b w:val="0"/>
        </w:rPr>
        <w:t>El objetivo del plan se conserva: pedido, preparación, entrega y venta son procesos relacionados con estados y efectos propios. El cobro y el cierre financiero forman parte de la integración de fase 7.</w:t>
      </w:r>
    </w:p>
    <w:p>
      <w:r>
        <w:br w:type="page"/>
      </w:r>
    </w:p>
    <w:p>
      <w:pPr>
        <w:pStyle w:val="Heading1"/>
      </w:pPr>
      <w:r>
        <w:t>Extras incorporados al alcance</w:t>
      </w:r>
    </w:p>
    <w:p>
      <w:pPr>
        <w:pStyle w:val="Heading2"/>
      </w:pPr>
      <w:r>
        <w:t>Menú y configuración de la sucursal</w:t>
      </w:r>
    </w:p>
    <w:p>
      <w:r>
        <w:rPr>
          <w:b/>
        </w:rPr>
        <w:t xml:space="preserve">Secciones de carta. </w:t>
      </w:r>
      <w:r>
        <w:t>Grupos locales como Pizzas, Acompañamientos y Bebidas, independientes de las categorías de inventario. Los productos anteriores sin sección conservan sus registros hasta asignarlos.</w:t>
      </w:r>
    </w:p>
    <w:p>
      <w:r>
        <w:rPr>
          <w:b/>
        </w:rPr>
        <w:t xml:space="preserve">Selección de productos. </w:t>
      </w:r>
      <w:r>
        <w:t>Búsqueda y filtros del catálogo vendible. Los insumos, ingredientes, subrecetas y empaques se excluyen de la carta; los preparados necesitan receta activa.</w:t>
      </w:r>
    </w:p>
    <w:p>
      <w:r>
        <w:rPr>
          <w:b/>
        </w:rPr>
        <w:t xml:space="preserve">Recetas y exclusiones. </w:t>
      </w:r>
      <w:r>
        <w:t>Detección de la receta al elegir el producto y selección de sus componentes directos cuando se elabora al pedir. El guardado en el servidor comprueba que las exclusiones correspondan a la receta activa.</w:t>
      </w:r>
    </w:p>
    <w:p>
      <w:r>
        <w:rPr>
          <w:b/>
        </w:rPr>
        <w:t xml:space="preserve">Editor comercial. </w:t>
      </w:r>
      <w:r>
        <w:t>Interfaz con tres columnas para secciones, productos e inspector. Incluye opciones, extras, estación de preparación, favoritos, orden y vista previa del menú.</w:t>
      </w:r>
    </w:p>
    <w:p>
      <w:pPr>
        <w:pStyle w:val="Heading2"/>
      </w:pPr>
      <w:r>
        <w:t>Experiencia de uso y operación</w:t>
      </w:r>
    </w:p>
    <w:p>
      <w:r>
        <w:rPr>
          <w:b/>
        </w:rPr>
        <w:t xml:space="preserve">Diseño consistente. </w:t>
      </w:r>
      <w:r>
        <w:t>Colores del sistema, fondos neutros, bordes discretos, controles uniformes y fotografías o iniciales en los artículos sin imagen. Se conserva la ubicación de los paneles.</w:t>
      </w:r>
    </w:p>
    <w:p>
      <w:r>
        <w:rPr>
          <w:b/>
        </w:rPr>
        <w:t xml:space="preserve">Consulta y seguimiento. </w:t>
      </w:r>
      <w:r>
        <w:t>Indicadores de pedidos, filtros, mensajes sin resultados, cocina por estado, mesas agrupadas por área y tarjetas de delivery.</w:t>
      </w:r>
    </w:p>
    <w:p>
      <w:r>
        <w:rPr>
          <w:b/>
        </w:rPr>
        <w:t xml:space="preserve">Acciones guiadas. </w:t>
      </w:r>
      <w:r>
        <w:t>Diálogos para confirmar operaciones, indicar cantidades y registrar motivos. La cocina evita actualizarse automáticamente mientras hay un diálogo o una operación pendiente.</w:t>
      </w:r>
    </w:p>
    <w:p>
      <w:r>
        <w:rPr>
          <w:b/>
        </w:rPr>
        <w:t xml:space="preserve">Preparación parcial. </w:t>
      </w:r>
      <w:r>
        <w:t>División de una línea en cantidades preparadas y pendientes, manteniendo importes y reservas sin duplicarlos.</w:t>
      </w:r>
    </w:p>
    <w:p>
      <w:r>
        <w:rPr>
          <w:b/>
        </w:rPr>
        <w:t xml:space="preserve">Resguardo operativo. </w:t>
      </w:r>
      <w:r>
        <w:t>Revisión de pedido y configuración, identificadores de reintento, referencia externa única, permisos por acción y restricciones de sucursal en el servidor.</w:t>
      </w:r>
    </w:p>
    <w:p>
      <w:pPr>
        <w:pStyle w:val="Heading2"/>
      </w:pPr>
      <w:r>
        <w:t>Extras con integración pendiente</w:t>
      </w:r>
    </w:p>
    <w:p>
      <w:r>
        <w:rPr>
          <w:b w:val="0"/>
        </w:rPr>
        <w:t>La interfaz también incorpora copia de menú entre sucursales, nombre y precio comercial personalizados, canales y horarios por producto y simulación del pedido. No se presentan como funciones aceptadas de extremo a extremo: la revisión detectó pendientes concretos que se detallan en la página final.</w:t>
      </w:r>
    </w:p>
    <w:p>
      <w:r>
        <w:br w:type="page"/>
      </w:r>
    </w:p>
    <w:p>
      <w:pPr>
        <w:pStyle w:val="Heading1"/>
      </w:pPr>
      <w:r>
        <w:t>Flujo operativo y control de inventario</w:t>
      </w:r>
    </w:p>
    <w:p>
      <w:pPr>
        <w:pStyle w:val="Heading2"/>
      </w:pPr>
      <w:r>
        <w:t>Recorrido del pedido</w:t>
      </w:r>
    </w:p>
    <w:p>
      <w:r>
        <w:rPr>
          <w:b/>
        </w:rPr>
        <w:t xml:space="preserve">1 Captura. </w:t>
      </w:r>
      <w:r>
        <w:t>El operador elige sucursal y bodega de consumo, canal, servicio, cliente y productos. El borrador calcula importes y admite revisión sin reservar inventario.</w:t>
      </w:r>
    </w:p>
    <w:p>
      <w:r>
        <w:rPr>
          <w:b/>
        </w:rPr>
        <w:t xml:space="preserve">2 Envío. </w:t>
      </w:r>
      <w:r>
        <w:t>El servidor valida recetas, opciones, precio y existencia. Guarda los datos históricos y reserva artículos o componentes por bodega y lote.</w:t>
      </w:r>
    </w:p>
    <w:p>
      <w:r>
        <w:rPr>
          <w:b/>
        </w:rPr>
        <w:t xml:space="preserve">3 Preparación. </w:t>
      </w:r>
      <w:r>
        <w:t>Cocina inicia toda la línea o una parte. La reserva pasa a consumo físico una sola vez. Las cantidades que siguen pendientes permanecen reservadas.</w:t>
      </w:r>
    </w:p>
    <w:p>
      <w:r>
        <w:rPr>
          <w:b/>
        </w:rPr>
        <w:t xml:space="preserve">4 Despacho y entrega. </w:t>
      </w:r>
      <w:r>
        <w:t>Se marca listo cuando corresponde. Delivery agrega asignación de motorista y salida a ruta antes de confirmar la recepción del cliente.</w:t>
      </w:r>
    </w:p>
    <w:p>
      <w:r>
        <w:rPr>
          <w:b/>
        </w:rPr>
        <w:t xml:space="preserve">5 Seguimiento comercial. </w:t>
      </w:r>
      <w:r>
        <w:t>El pedido y sus consumos quedan disponibles para el contrato de integración de ventas. Confirmar entrega o liberar mesa no registra un pago.</w:t>
      </w:r>
    </w:p>
    <w:p>
      <w:pPr>
        <w:pStyle w:val="Heading2"/>
      </w:pPr>
      <w:r>
        <w:t>Ejemplo de control físico</w:t>
      </w:r>
    </w:p>
    <w:p>
      <w:r>
        <w:rPr>
          <w:b w:val="0"/>
        </w:rPr>
        <w:t>Si una bodega tiene 10 bebidas y un pedido reserva 3, conserva 10 unidades físicas, 3 reservadas y 7 disponibles. Al iniciar el despacho de esas 3, registra una salida y queda con 7 físicas y ninguna reserva de esa línea. Marcar listo o entregar no genera otra salida.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952"/>
        <w:gridCol w:w="6984"/>
      </w:tblGrid>
      <w:tr>
        <w:trPr>
          <w:tblHeader/>
          <w:cantSplit/>
        </w:trPr>
        <w:tc>
          <w:tcPr>
            <w:tcW w:type="dxa" w:w="29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17324D"/>
          </w:tcPr>
          <w:p>
            <w:pPr>
              <w:spacing w:after="20" w:line="250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Situación</w:t>
            </w:r>
          </w:p>
        </w:tc>
        <w:tc>
          <w:tcPr>
            <w:tcW w:type="dxa" w:w="69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17324D"/>
          </w:tcPr>
          <w:p>
            <w:pPr>
              <w:spacing w:after="20" w:line="250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Tratamiento incorporado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8"/>
              </w:rPr>
              <w:t>Cancelar borrador</w:t>
            </w:r>
          </w:p>
        </w:tc>
        <w:tc>
          <w:tcPr>
            <w:tcW w:type="dxa" w:w="69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8"/>
              </w:rPr>
              <w:t>No hubo reserva ni consumo; se cancela el importe activo.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8"/>
              </w:rPr>
              <w:t>Cancelar cantidad pendiente</w:t>
            </w:r>
          </w:p>
        </w:tc>
        <w:tc>
          <w:tcPr>
            <w:tcW w:type="dxa" w:w="69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8"/>
              </w:rPr>
              <w:t>Libera su reserva; conserva la existencia física.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8"/>
              </w:rPr>
              <w:t>Cancelar cantidad preparada</w:t>
            </w:r>
          </w:p>
        </w:tc>
        <w:tc>
          <w:tcPr>
            <w:tcW w:type="dxa" w:w="69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8"/>
              </w:rPr>
              <w:t>Conserva el consumo y registra la merma con motivo y trazabilidad.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8"/>
              </w:rPr>
              <w:t>Reintegrar artículo intacto</w:t>
            </w:r>
          </w:p>
        </w:tc>
        <w:tc>
          <w:tcPr>
            <w:tcW w:type="dxa" w:w="69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8"/>
              </w:rPr>
              <w:t>Requiere permisos, retorno físico elegible y referencia al movimiento y lote originales.</w:t>
            </w:r>
          </w:p>
        </w:tc>
      </w:tr>
    </w:tbl>
    <w:p>
      <w:pPr>
        <w:spacing w:after="20"/>
      </w:pPr>
    </w:p>
    <w:p>
      <w:r>
        <w:rPr>
          <w:b w:val="0"/>
        </w:rPr>
        <w:t>Para una pizza que utiliza masa ya producida, la preparación consume la masa terminada y los demás componentes de su receta. La harina utilizada al producir la masa no debe descontarse otra vez al atender el pedido.</w:t>
      </w:r>
    </w:p>
    <w:p>
      <w:r>
        <w:br w:type="page"/>
      </w:r>
    </w:p>
    <w:p>
      <w:pPr>
        <w:pStyle w:val="Heading1"/>
      </w:pPr>
      <w:r>
        <w:t>Estructura técnica y trazabilidad</w:t>
      </w:r>
    </w:p>
    <w:p>
      <w:pPr>
        <w:pStyle w:val="Heading2"/>
      </w:pPr>
      <w:r>
        <w:t>Integración con las fases anteriores</w:t>
      </w:r>
    </w:p>
    <w:p>
      <w:r>
        <w:rPr>
          <w:b w:val="0"/>
        </w:rPr>
        <w:t>La estructura empresarial aporta empresa, sucursal, bodega y alcance del usuario. El catálogo aporta tipos, variantes, unidades y configuración local. Inventario y compras aportan existencias y lotes; producción y recetas aportan versiones, componentes, rendimientos y costos. Fase 6 coordina estas bases durante la atención del pedido.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44"/>
        <w:gridCol w:w="7992"/>
      </w:tblGrid>
      <w:tr>
        <w:trPr>
          <w:tblHeader/>
          <w:cantSplit/>
        </w:trPr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17324D"/>
          </w:tcPr>
          <w:p>
            <w:pPr>
              <w:spacing w:after="20" w:line="250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Capa</w:t>
            </w:r>
          </w:p>
        </w:tc>
        <w:tc>
          <w:tcPr>
            <w:tcW w:type="dxa" w:w="79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17324D"/>
          </w:tcPr>
          <w:p>
            <w:pPr>
              <w:spacing w:after="20" w:line="250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Componentes principales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8"/>
              </w:rPr>
              <w:t>Dominio</w:t>
            </w:r>
          </w:p>
        </w:tc>
        <w:tc>
          <w:tcPr>
            <w:tcW w:type="dxa" w:w="79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8"/>
              </w:rPr>
              <w:t>RestaurantOrder y RestaurantSetup: pedido, líneas, estados, configuración, reservas, eventos, merma y turnos.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8"/>
              </w:rPr>
              <w:t>Aplicación</w:t>
            </w:r>
          </w:p>
        </w:tc>
        <w:tc>
          <w:tcPr>
            <w:tcW w:type="dxa" w:w="79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8"/>
              </w:rPr>
              <w:t>RestaurantService, RestaurantPricing y RestaurantPreparation: alcance, precios, recetas, preparación, cancelación y delivery.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8"/>
              </w:rPr>
              <w:t>Persistencia</w:t>
            </w:r>
          </w:p>
        </w:tc>
        <w:tc>
          <w:tcPr>
            <w:tcW w:type="dxa" w:w="79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8"/>
              </w:rPr>
              <w:t>RestaurantRepository, RestaurantConfiguration y AppDbContext: consultas, transacciones, restricciones e históricos.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8"/>
              </w:rPr>
              <w:t>Interfaz</w:t>
            </w:r>
          </w:p>
        </w:tc>
        <w:tc>
          <w:tcPr>
            <w:tcW w:type="dxa" w:w="79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8"/>
              </w:rPr>
              <w:t>RestaurantController, siete vistas Restaurant, restaurant.js, restaurant-config.js, restaurant-ui.js y restaurant.css.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8"/>
              </w:rPr>
              <w:t>Inventario compartido</w:t>
            </w:r>
          </w:p>
        </w:tc>
        <w:tc>
          <w:tcPr>
            <w:tcW w:type="dxa" w:w="79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8"/>
              </w:rPr>
              <w:t>InventoryStock, InventoryMovement e InventoryLotLedger: reservas, consumos y protección de cantidades comprometidas.</w:t>
            </w:r>
          </w:p>
        </w:tc>
      </w:tr>
    </w:tbl>
    <w:p>
      <w:pPr>
        <w:spacing w:after="20"/>
      </w:pPr>
    </w:p>
    <w:p>
      <w:pPr>
        <w:pStyle w:val="Heading2"/>
      </w:pPr>
      <w:r>
        <w:t>Controles incorporados</w:t>
      </w:r>
    </w:p>
    <w:p>
      <w:r>
        <w:rPr>
          <w:b w:val="0"/>
        </w:rPr>
        <w:t>Las operaciones críticas comprueban permiso y sucursal en el servidor. Los pedidos y configuraciones usan revisiones para detectar cambios de otro operador. La persistencia utiliza transacciones serializables, secuencias, restricciones únicas y control de concurrencia PostgreSQL.</w:t>
      </w:r>
    </w:p>
    <w:p>
      <w:r>
        <w:rPr>
          <w:b w:val="0"/>
        </w:rPr>
        <w:t>Cada pedido conserva eventos, usuario, fecha y cambios. Las líneas enviadas guardan su configuración comercial y consumo previsto; los movimientos físicos y lotes permiten rastrear preparación, cancelación, merma y retorno elegible.</w:t>
      </w:r>
    </w:p>
    <w:p>
      <w:pPr>
        <w:pStyle w:val="Heading2"/>
      </w:pPr>
      <w:r>
        <w:t>Migración y contrato de salida</w:t>
      </w:r>
    </w:p>
    <w:p>
      <w:r>
        <w:rPr>
          <w:b w:val="0"/>
        </w:rPr>
        <w:t>La migración AddRestaurantOrdersKitchenDelivery incorpora las tablas operativas del módulo, la secuencia de pedidos y campos para reservas y movimientos relacionados. La aplicación de la migración sobre históricos y su conciliación no cuentan con evidencia de aceptación en esta entrega.</w:t>
      </w:r>
    </w:p>
    <w:p>
      <w:r>
        <w:rPr>
          <w:b w:val="0"/>
        </w:rPr>
        <w:t>El endpoint de checkout entrega identidad y revisión del pedido, ubicación, importes, líneas y movimientos de consumo existentes. Fase 7 debe utilizar esa información para crear la venta y el cobro sin repetir una salida física ya registrada.</w:t>
      </w:r>
    </w:p>
    <w:p>
      <w:r>
        <w:br w:type="page"/>
      </w:r>
    </w:p>
    <w:p>
      <w:pPr>
        <w:pStyle w:val="Heading1"/>
      </w:pPr>
      <w:r>
        <w:t>Evidencia de cierre y aceptación pendiente</w:t>
      </w:r>
    </w:p>
    <w:p>
      <w:pPr>
        <w:pStyle w:val="Heading2"/>
      </w:pPr>
      <w:r>
        <w:t>Verificación técnica disponible</w:t>
      </w:r>
    </w:p>
    <w:p>
      <w:r>
        <w:rPr>
          <w:b w:val="0"/>
        </w:rPr>
        <w:t>La última compilación documentada de Web y sus dependencias terminó con 0 errores y 0 advertencias. Los archivos JavaScript revisados pasaron su comprobación de sintaxis; git diff --check no reportó errores de formato. Son resultados de entregas previas de esta conversación, no una suite funcional ejecutada para este informe.</w:t>
      </w:r>
    </w:p>
    <w:p>
      <w:r>
        <w:rPr>
          <w:b w:val="0"/>
        </w:rPr>
        <w:t>Para preparar este documento se revisaron el código local, la guía de implementación, el manual y el registro del rediseño. No se ejecutaron pruebas de interfaz, concurrencia o migración de la base activa. La captura proporcionada evidencia una pantalla de configuración, pero no valida los diez recorridos operativos.</w:t>
      </w:r>
    </w:p>
    <w:p>
      <w:pPr>
        <w:pStyle w:val="Heading2"/>
      </w:pPr>
      <w:r>
        <w:t>Observaciones concretas de la revisión</w:t>
      </w:r>
    </w:p>
    <w:p>
      <w:r>
        <w:rPr>
          <w:b/>
        </w:rPr>
        <w:t xml:space="preserve">Copia entre sucursales. </w:t>
      </w:r>
      <w:r>
        <w:t>La copia genera identificadores nuevos para secciones y estaciones, mientras conserva las referencias anteriores en las líneas del menú. Debe remapear sus relaciones y validarse el guardado antes de declararse completada.</w:t>
      </w:r>
    </w:p>
    <w:p>
      <w:r>
        <w:rPr>
          <w:b/>
        </w:rPr>
        <w:t xml:space="preserve">Precio y nombre personalizados. </w:t>
      </w:r>
      <w:r>
        <w:t>El menú de consulta utiliza valores personalizados, pero la cotización que construye las líneas del pedido conserva el nombre y el cálculo de precio del catálogo. Debe unificarse el cálculo y comprobarse que pantalla, borrador y envío coinciden.</w:t>
      </w:r>
    </w:p>
    <w:p>
      <w:r>
        <w:rPr>
          <w:b/>
        </w:rPr>
        <w:t xml:space="preserve">Disponibilidad y canales. </w:t>
      </w:r>
      <w:r>
        <w:t>Los campos de canales y horarios existen en la configuración; no se identificó su aplicación completa al cotizar o enviar. La visibilidad de la interfaz debe estar respaldada por la misma validación en el servidor.</w:t>
      </w:r>
    </w:p>
    <w:p>
      <w:r>
        <w:rPr>
          <w:b/>
        </w:rPr>
        <w:t xml:space="preserve">Exclusiones y reglas obligatorias. </w:t>
      </w:r>
      <w:r>
        <w:t>La interfaz identifica algunos componentes como requeridos por su nombre. Esa indicación debe revisarse antes de presentarla como una regla explícita y garantizada por el servidor.</w:t>
      </w:r>
    </w:p>
    <w:p>
      <w:pPr>
        <w:pStyle w:val="Heading2"/>
      </w:pPr>
      <w:r>
        <w:t>Criterio para el cierre operativo</w:t>
      </w:r>
    </w:p>
    <w:p>
      <w:r>
        <w:rPr>
          <w:b w:val="0"/>
        </w:rPr>
        <w:t>Completar una migración ensayada y conciliada, el recorrido de salón, llevar y delivery, preparación parcial, cancelación pendiente y preparada, reintentos, permisos y acceso cruzado entre sucursales. Probar dos operadores sobre el último stock, un pedido y una mesa, y registrar los resultados. Las listas actuales cargan el historial de la sucursal; la capacidad con volumen sigue pendiente de medición.</w:t>
      </w:r>
    </w:p>
    <w:p>
      <w:pPr>
        <w:pStyle w:val="Heading2"/>
      </w:pPr>
      <w:r>
        <w:t>Conclusión de entrega</w:t>
      </w:r>
    </w:p>
    <w:p>
      <w:r>
        <w:rPr>
          <w:b w:val="0"/>
        </w:rPr>
        <w:t>Se entrega el desarrollo del núcleo de pedidos, cocina y delivery con cobertura identificada para ORD-01 a ORD-10 y mejoras de configuración e interfaz. El estado que respalda la evidencia es entrega técnica con aceptación operativa pendiente. El cierre definitivo requiere resolver las observaciones de extras y documentar la aceptación funcional; la integración de venta y cobro se conserva en fase 7.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52" w:bottom="979" w:left="115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Fase 6   ·   20 de octubre de 2026   ·  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SISTEMI POS Restaurante   |   Informe de entrega técnica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69" w:lineRule="auto" w:after="140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40" w:after="14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24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widowControl/>
      <w:ind w:left="720"/>
      <w:contextualSpacing/>
    </w:pPr>
    <w:rPr>
      <w:rFonts w:ascii="Arial" w:hAnsi="Arial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entrega de la fase 6</dc:title>
  <dc:subject>Pedidos cocina y delivery con cobertura y estado de aceptación</dc:subject>
  <dc:creator>SISTEMI POS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