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30"/>
                <w:szCs w:val="30"/>
              </w:rPr>
              <w:t xml:space="preserve">ABOM</w:t>
            </w:r>
            <w:r>
              <w:rPr>
                <w:rFonts w:ascii="Arial" w:cs="Arial" w:eastAsia="Arial" w:hAnsi="Arial"/>
                <w:color w:val="C9D6EC"/>
                <w:sz w:val="18"/>
                <w:szCs w:val="18"/>
              </w:rPr>
              <w:t xml:space="preserve">   ·   Lighthouse Design Partner Brief</w:t>
            </w:r>
          </w:p>
          <w:p>
            <w:r>
              <w:rPr>
                <w:rFonts w:ascii="Arial" w:cs="Arial" w:eastAsia="Arial" w:hAnsi="Arial"/>
                <w:i/>
                <w:iCs/>
                <w:color w:val="EAF0FA"/>
                <w:sz w:val="19"/>
                <w:szCs w:val="19"/>
              </w:rPr>
              <w:t xml:space="preserve">Know what your agents are made of — and what they did. Signed, standard, tamper-evident.</w:t>
            </w:r>
          </w:p>
        </w:tc>
      </w:tr>
    </w:tbl>
    <w:p>
      <w:pPr>
        <w:spacing w:after="80"/>
      </w:pPr>
    </w:p>
    <w:p>
      <w:pPr>
        <w:pBdr>
          <w:bottom w:val="single" w:color="EAF0FA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2E5496"/>
          <w:spacing w:val="20"/>
          <w:sz w:val="18"/>
          <w:szCs w:val="18"/>
        </w:rPr>
        <w:t xml:space="preserve">THE QUESTION YOU CAN'T ANSWER TODAY</w:t>
      </w:r>
    </w:p>
    <w:p>
      <w:pPr>
        <w:spacing w:after="100" w:line="252"/>
      </w:pPr>
      <w:r>
        <w:rPr>
          <w:rFonts w:ascii="Arial" w:cs="Arial" w:eastAsia="Arial" w:hAnsi="Arial"/>
          <w:color w:val="262626"/>
          <w:sz w:val="19"/>
          <w:szCs w:val="19"/>
        </w:rPr>
        <w:t xml:space="preserve">Agents are moving into production inside your institution, and a question your auditors and regulators will soon require is one no one can answer well: what is each agent made of, and what exactly did it do? You have scattered application logs you must trust — not a signed, standard, tamper-evident record you can verify and hand to a regulator. AI Act Art. 12, DORA, and NIST AI RMF all point at it; SBOM went from optional to mandated in three years, and agent accountability is on the same path.</w:t>
      </w:r>
    </w:p>
    <w:p>
      <w:pPr>
        <w:pBdr>
          <w:bottom w:val="single" w:color="EAF0FA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2E5496"/>
          <w:spacing w:val="20"/>
          <w:sz w:val="18"/>
          <w:szCs w:val="18"/>
        </w:rPr>
        <w:t xml:space="preserve">WHAT WE'RE OFFERING A LIGHTHOUSE PARTNER</w:t>
      </w:r>
    </w:p>
    <w:p>
      <w:pPr>
        <w:spacing w:after="100" w:line="252"/>
      </w:pPr>
      <w:r>
        <w:rPr>
          <w:rFonts w:ascii="Arial" w:cs="Arial" w:eastAsia="Arial" w:hAnsi="Arial"/>
          <w:color w:val="262626"/>
          <w:sz w:val="19"/>
          <w:szCs w:val="19"/>
        </w:rPr>
        <w:t xml:space="preserve">A founding partnership to stand up ABOM — the Agent Bill of Materials — inside your environment, producing a signed, standard, tamper-evident record of one high-stakes agent: every model, tool, prompt, data source, and policy it is built from, and every consequential thing it did. You shape the standard; we earn your reference.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AF0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you 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 verified ABOM for one high-stakes agent: a signed Composition Manifest (what it is) plus a hash-chained Action Provenance Record (what it did).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abom-verify run against your policy — catching a real violation (e.g. an unapproved model, or confidential data heading to egress) in the first weeks.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 tamper-evident system of record, exportable to your SIEM and your regulator, mapped to DORA and EU AI Act Art. 12 expectations.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Direct influence over the open ABOM standard, and founder-level support throughout.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Preferential founding-partner commercial terms, locked for the term.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we 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One real, high-stakes agent already running (or about to) inside your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Access to a small group of platform, risk, and compliance stakeholders.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 joint success definition and a short pilot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34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Reference rights — a named logo and a quote — once the first verified ABOM is produced.</w:t>
            </w:r>
          </w:p>
        </w:tc>
      </w:tr>
    </w:tbl>
    <w:p>
      <w:pPr>
        <w:spacing w:after="60"/>
      </w:pPr>
    </w:p>
    <w:p>
      <w:pPr>
        <w:pBdr>
          <w:bottom w:val="single" w:color="EAF0FA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2E5496"/>
          <w:spacing w:val="20"/>
          <w:sz w:val="18"/>
          <w:szCs w:val="18"/>
        </w:rPr>
        <w:t xml:space="preserve">THE FIRST ARTIFACT — A VERIFIED ABOM FOR ONE HIGH-STAKES AGENT</w:t>
      </w:r>
    </w:p>
    <w:p>
      <w:pPr>
        <w:spacing w:after="100" w:line="252"/>
      </w:pPr>
      <w:r>
        <w:rPr>
          <w:rFonts w:ascii="Arial" w:cs="Arial" w:eastAsia="Arial" w:hAnsi="Arial"/>
          <w:color w:val="262626"/>
          <w:sz w:val="19"/>
          <w:szCs w:val="19"/>
        </w:rPr>
        <w:t xml:space="preserve">We start narrow and concrete: instrument one consequential agent with abom-gen so it emits a signed Composition Manifest at deploy time and a hash-chained Action Provenance Record for each consequential action. Then abom-verify checks it against your policy. Success is measurable in weeks, not quarters — one signed, verifiable document that answers the question — and it becomes the reference that unlocks the rest of the institution.</w:t>
      </w:r>
    </w:p>
    <w:p>
      <w:pPr>
        <w:pBdr>
          <w:bottom w:val="single" w:color="EAF0FA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2E5496"/>
          <w:spacing w:val="20"/>
          <w:sz w:val="18"/>
          <w:szCs w:val="18"/>
        </w:rPr>
        <w:t xml:space="preserve">WHY ABOM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Standard — extends the emerging CycloneDX ML-BOM to full agents and runtime provenance; we ride the rail, we don't fork it.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Signed — tamper-evident and regulator-grade; trust that is cryptographic, not reputational, and exportable to your SIEM and regulator.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Neutral and yours — we sell no model and no agent, so the bill of materials is impartial; it runs inside your boundary and nothing leaves.</w:t>
      </w:r>
    </w:p>
    <w:p>
      <w:pPr>
        <w:spacing w:after="0" w:before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49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a workshop</w:t>
            </w:r>
          </w:p>
          <w:p>
            <w:r>
              <w:rPr>
                <w:rFonts w:ascii="Arial" w:cs="Arial" w:eastAsia="Arial" w:hAnsi="Arial"/>
                <w:color w:val="EAF0FA"/>
                <w:sz w:val="18"/>
                <w:szCs w:val="18"/>
              </w:rPr>
              <w:t xml:space="preserve">A 60-minute scoping session: we pick one candidate agent, sketch its Composition Manifest, and agree what its first verified ABOM must prove. No commitment beyond the conversation.</w:t>
            </w:r>
          </w:p>
        </w:tc>
      </w:tr>
    </w:tbl>
    <w:p>
      <w:pPr>
        <w:pBdr>
          <w:top w:val="single" w:color="BFBFBF" w:sz="4" w:space="6"/>
        </w:pBdr>
        <w:spacing w:before="12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ABOM · abom.ai · Confidential · Founding design-partner program · contact: hello@abom.ai</w:t>
      </w:r>
    </w:p>
    <w:sectPr>
      <w:pgSz w:w="12240" w:h="15840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00"/>
      </w:pPr>
      <w:rPr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ABOM — Lighthouse Design Partner Brief</dc:title>
  <dc:creator>ABOM founding team</dc:creator>
  <cp:lastModifiedBy>Un-named</cp:lastModifiedBy>
  <cp:revision>1</cp:revision>
  <dcterms:created xsi:type="dcterms:W3CDTF">2026-06-18T22:21:49.104Z</dcterms:created>
  <dcterms:modified xsi:type="dcterms:W3CDTF">2026-06-18T22:21:49.105Z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