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before="0"/>
        <w:jc w:val="center"/>
      </w:pPr>
      <w:r>
        <w:rPr>
          <w:rFonts w:ascii="Calibri" w:cs="Calibri" w:eastAsia="Calibri" w:hAnsi="Calibri"/>
          <w:b/>
          <w:bCs/>
          <w:color w:val="111111"/>
          <w:sz w:val="72"/>
          <w:szCs w:val="72"/>
        </w:rPr>
        <w:t xml:space="preserve">AVALON VITALITY</w:t>
      </w:r>
    </w:p>
    <w:p>
      <w:pPr>
        <w:spacing w:after="80" w:before="0"/>
        <w:jc w:val="center"/>
      </w:pPr>
      <w:r>
        <w:rPr>
          <w:rFonts w:ascii="Calibri" w:cs="Calibri" w:eastAsia="Calibri" w:hAnsi="Calibri"/>
          <w:color w:val="B91C1C"/>
          <w:sz w:val="36"/>
          <w:szCs w:val="36"/>
        </w:rPr>
        <w:t xml:space="preserve">Top 20 Pre-API Critical Audit</w:t>
      </w:r>
    </w:p>
    <w:p>
      <w:pPr>
        <w:spacing w:after="2400" w:before="0"/>
        <w:jc w:val="center"/>
      </w:pPr>
      <w:r>
        <w:rPr>
          <w:rFonts w:ascii="Calibri" w:cs="Calibri" w:eastAsia="Calibri" w:hAnsi="Calibri"/>
          <w:i/>
          <w:iCs/>
          <w:color w:val="AAAAAA"/>
          <w:sz w:val="22"/>
          <w:szCs w:val="22"/>
        </w:rPr>
        <w:t xml:space="preserve">Ranked by severity. No mercy. May 2026.</w:t>
      </w:r>
    </w:p>
    <w:p>
      <w:pPr>
        <w:pBdr>
          <w:bottom w:val="single" w:color="E0E0E0" w:sz="2"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11111" w:sz="1"/>
              <w:left w:val="single" w:color="111111" w:sz="1"/>
              <w:bottom w:val="single" w:color="111111" w:sz="1"/>
              <w:right w:val="single" w:color="111111" w:sz="1"/>
            </w:tcBorders>
            <w:shd w:fill="111111" w:val="clear"/>
            <w:tcMar>
              <w:top w:type="dxa" w:w="200"/>
              <w:left w:type="dxa" w:w="240"/>
              <w:bottom w:type="dxa" w:w="200"/>
              <w:right w:type="dxa" w:w="240"/>
            </w:tcMar>
          </w:tcPr>
          <w:p>
            <w:pPr>
              <w:spacing w:after="80" w:before="0"/>
              <w:jc w:val="center"/>
            </w:pPr>
            <w:r>
              <w:rPr>
                <w:rFonts w:ascii="Calibri" w:cs="Calibri" w:eastAsia="Calibri" w:hAnsi="Calibri"/>
                <w:b/>
                <w:bCs/>
                <w:color w:val="AAAAAA"/>
                <w:sz w:val="18"/>
                <w:szCs w:val="18"/>
              </w:rPr>
              <w:t xml:space="preserve">PRODUCTION READINESS SCORE</w:t>
            </w:r>
          </w:p>
          <w:p>
            <w:pPr>
              <w:spacing w:after="40" w:before="0"/>
              <w:jc w:val="center"/>
            </w:pPr>
            <w:r>
              <w:rPr>
                <w:rFonts w:ascii="Calibri" w:cs="Calibri" w:eastAsia="Calibri" w:hAnsi="Calibri"/>
                <w:b/>
                <w:bCs/>
                <w:color w:val="B91C1C"/>
                <w:sz w:val="96"/>
                <w:szCs w:val="96"/>
              </w:rPr>
              <w:t xml:space="preserve">271</w:t>
            </w:r>
          </w:p>
          <w:p>
            <w:pPr>
              <w:spacing w:after="80" w:before="0"/>
              <w:jc w:val="center"/>
            </w:pPr>
            <w:r>
              <w:rPr>
                <w:rFonts w:ascii="Calibri" w:cs="Calibri" w:eastAsia="Calibri" w:hAnsi="Calibri"/>
                <w:color w:val="AAAAAA"/>
                <w:sz w:val="28"/>
                <w:szCs w:val="28"/>
              </w:rPr>
              <w:t xml:space="preserve">/ 1,000</w:t>
            </w:r>
          </w:p>
          <w:p>
            <w:pPr>
              <w:spacing w:after="0" w:before="0"/>
              <w:jc w:val="center"/>
            </w:pPr>
            <w:r>
              <w:rPr>
                <w:rFonts w:ascii="Calibri" w:cs="Calibri" w:eastAsia="Calibri" w:hAnsi="Calibri"/>
                <w:i/>
                <w:iCs/>
                <w:color w:val="AAAAAA"/>
                <w:sz w:val="18"/>
                <w:szCs w:val="18"/>
              </w:rPr>
              <w:t xml:space="preserve">as a healthcare operating system</w:t>
            </w:r>
          </w:p>
        </w:tc>
        <w:tc>
          <w:tcPr>
            <w:tcW w:type="dxa" w:w="4680"/>
            <w:tcBorders>
              <w:top w:val="single" w:color="111111" w:sz="1"/>
              <w:left w:val="single" w:color="111111" w:sz="1"/>
              <w:bottom w:val="single" w:color="111111" w:sz="1"/>
              <w:right w:val="single" w:color="111111" w:sz="1"/>
            </w:tcBorders>
            <w:shd w:fill="1A1A1A" w:val="clear"/>
            <w:tcMar>
              <w:top w:type="dxa" w:w="200"/>
              <w:left w:type="dxa" w:w="240"/>
              <w:bottom w:type="dxa" w:w="200"/>
              <w:right w:type="dxa" w:w="240"/>
            </w:tcMar>
          </w:tcPr>
          <w:p>
            <w:pPr>
              <w:spacing w:after="80" w:before="0"/>
              <w:jc w:val="center"/>
            </w:pPr>
            <w:r>
              <w:rPr>
                <w:rFonts w:ascii="Calibri" w:cs="Calibri" w:eastAsia="Calibri" w:hAnsi="Calibri"/>
                <w:b/>
                <w:bCs/>
                <w:color w:val="AAAAAA"/>
                <w:sz w:val="18"/>
                <w:szCs w:val="18"/>
              </w:rPr>
              <w:t xml:space="preserve">UI / PROTOTYPE SCORE</w:t>
            </w:r>
          </w:p>
          <w:p>
            <w:pPr>
              <w:spacing w:after="40" w:before="0"/>
              <w:jc w:val="center"/>
            </w:pPr>
            <w:r>
              <w:rPr>
                <w:rFonts w:ascii="Calibri" w:cs="Calibri" w:eastAsia="Calibri" w:hAnsi="Calibri"/>
                <w:b/>
                <w:bCs/>
                <w:color w:val="FFFFFF"/>
                <w:sz w:val="96"/>
                <w:szCs w:val="96"/>
              </w:rPr>
              <w:t xml:space="preserve">734</w:t>
            </w:r>
          </w:p>
          <w:p>
            <w:pPr>
              <w:spacing w:after="80" w:before="0"/>
              <w:jc w:val="center"/>
            </w:pPr>
            <w:r>
              <w:rPr>
                <w:rFonts w:ascii="Calibri" w:cs="Calibri" w:eastAsia="Calibri" w:hAnsi="Calibri"/>
                <w:color w:val="AAAAAA"/>
                <w:sz w:val="28"/>
                <w:szCs w:val="28"/>
              </w:rPr>
              <w:t xml:space="preserve">/ 1,000</w:t>
            </w:r>
          </w:p>
          <w:p>
            <w:pPr>
              <w:spacing w:after="0" w:before="0"/>
              <w:jc w:val="center"/>
            </w:pPr>
            <w:r>
              <w:rPr>
                <w:rFonts w:ascii="Calibri" w:cs="Calibri" w:eastAsia="Calibri" w:hAnsi="Calibri"/>
                <w:i/>
                <w:iCs/>
                <w:color w:val="AAAAAA"/>
                <w:sz w:val="18"/>
                <w:szCs w:val="18"/>
              </w:rPr>
              <w:t xml:space="preserve">as a design prototype</w:t>
            </w:r>
          </w:p>
        </w:tc>
      </w:tr>
    </w:tbl>
    <w:p>
      <w:r>
        <w:br w:type="page"/>
      </w:r>
    </w:p>
    <w:p>
      <w:pPr>
        <w:pStyle w:val="Heading1"/>
        <w:spacing w:after="200" w:before="480"/>
      </w:pPr>
      <w:r>
        <w:rPr>
          <w:rFonts w:ascii="Calibri" w:cs="Calibri" w:eastAsia="Calibri" w:hAnsi="Calibri"/>
          <w:b/>
          <w:bCs/>
          <w:color w:val="111111"/>
          <w:sz w:val="42"/>
          <w:szCs w:val="42"/>
        </w:rPr>
        <w:t xml:space="preserve">Score Breakdown</w:t>
      </w:r>
    </w:p>
    <w:p>
      <w:pPr>
        <w:spacing w:after="40" w:before="40"/>
      </w:pPr>
      <w:r>
        <w:rPr>
          <w:rFonts w:ascii="Calibri" w:cs="Calibri" w:eastAsia="Calibri" w:hAnsi="Calibri"/>
          <w:color w:val="2C2C2E"/>
          <w:sz w:val="21"/>
          <w:szCs w:val="21"/>
        </w:rPr>
        <w:t xml:space="preserve">The 271/1,000 production score reflects a weighted assessment across seven critical dimensions. The design and architecture are genuinely strong. The operational and clinical layers are not production-safe.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111111" w:sz="1"/>
              <w:left w:val="single" w:color="111111" w:sz="1"/>
              <w:bottom w:val="single" w:color="111111" w:sz="1"/>
              <w:right w:val="single" w:color="111111" w:sz="1"/>
            </w:tcBorders>
            <w:shd w:fill="111111" w:val="clear"/>
            <w:tcMar>
              <w:top w:type="dxa" w:w="80"/>
              <w:left w:type="dxa" w:w="140"/>
              <w:bottom w:type="dxa" w:w="80"/>
              <w:right w:type="dxa" w:w="140"/>
            </w:tcMar>
          </w:tcPr>
          <w:p>
            <w:r>
              <w:rPr>
                <w:rFonts w:ascii="Calibri" w:cs="Calibri" w:eastAsia="Calibri" w:hAnsi="Calibri"/>
                <w:b/>
                <w:bCs/>
                <w:color w:val="FFFFFF"/>
                <w:sz w:val="19"/>
                <w:szCs w:val="19"/>
              </w:rPr>
              <w:t xml:space="preserve">DIMENSION</w:t>
            </w:r>
          </w:p>
        </w:tc>
        <w:tc>
          <w:tcPr>
            <w:tcW w:type="dxa" w:w="1200"/>
            <w:tcBorders>
              <w:top w:val="single" w:color="111111" w:sz="1"/>
              <w:left w:val="single" w:color="111111" w:sz="1"/>
              <w:bottom w:val="single" w:color="111111" w:sz="1"/>
              <w:right w:val="single" w:color="111111" w:sz="1"/>
            </w:tcBorders>
            <w:shd w:fill="111111"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WEIGHT</w:t>
            </w:r>
          </w:p>
        </w:tc>
        <w:tc>
          <w:tcPr>
            <w:tcW w:type="dxa" w:w="1200"/>
            <w:tcBorders>
              <w:top w:val="single" w:color="111111" w:sz="1"/>
              <w:left w:val="single" w:color="111111" w:sz="1"/>
              <w:bottom w:val="single" w:color="111111" w:sz="1"/>
              <w:right w:val="single" w:color="111111" w:sz="1"/>
            </w:tcBorders>
            <w:shd w:fill="111111"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SCORE</w:t>
            </w:r>
          </w:p>
        </w:tc>
        <w:tc>
          <w:tcPr>
            <w:tcW w:type="dxa" w:w="3760"/>
            <w:tcBorders>
              <w:top w:val="single" w:color="111111" w:sz="1"/>
              <w:left w:val="single" w:color="111111" w:sz="1"/>
              <w:bottom w:val="single" w:color="111111" w:sz="1"/>
              <w:right w:val="single" w:color="111111" w:sz="1"/>
            </w:tcBorders>
            <w:shd w:fill="111111" w:val="clear"/>
            <w:tcMar>
              <w:top w:type="dxa" w:w="80"/>
              <w:left w:type="dxa" w:w="140"/>
              <w:bottom w:type="dxa" w:w="80"/>
              <w:right w:type="dxa" w:w="140"/>
            </w:tcMar>
          </w:tcPr>
          <w:p>
            <w:r>
              <w:rPr>
                <w:rFonts w:ascii="Calibri" w:cs="Calibri" w:eastAsia="Calibri" w:hAnsi="Calibri"/>
                <w:b/>
                <w:bCs/>
                <w:color w:val="FFFFFF"/>
                <w:sz w:val="19"/>
                <w:szCs w:val="19"/>
              </w:rPr>
              <w:t xml:space="preserve">REASON</w:t>
            </w:r>
          </w:p>
        </w:tc>
      </w:tr>
      <w:tr>
        <w:tc>
          <w:tcPr>
            <w:tcW w:type="dxa" w:w="3200"/>
            <w:tcBorders>
              <w:top w:val="single" w:color="E0E0E0" w:sz="1"/>
              <w:left w:val="single" w:color="E0E0E0" w:sz="1"/>
              <w:bottom w:val="single" w:color="E0E0E0" w:sz="1"/>
              <w:right w:val="single" w:color="E0E0E0" w:sz="1"/>
            </w:tcBorders>
            <w:shd w:fill="FEF2F2" w:val="clear"/>
            <w:tcMar>
              <w:top w:type="dxa" w:w="80"/>
              <w:left w:type="dxa" w:w="140"/>
              <w:bottom w:type="dxa" w:w="80"/>
              <w:right w:type="dxa" w:w="140"/>
            </w:tcMar>
          </w:tcPr>
          <w:p>
            <w:r>
              <w:rPr>
                <w:rFonts w:ascii="Calibri" w:cs="Calibri" w:eastAsia="Calibri" w:hAnsi="Calibri"/>
                <w:b/>
                <w:bCs/>
                <w:color w:val="2C2C2E"/>
                <w:sz w:val="20"/>
                <w:szCs w:val="20"/>
              </w:rPr>
              <w:t xml:space="preserve">Security &amp; Auth</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20%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18/200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Hardcoded password, client-side auth, open redirect in Stripe URL</w:t>
            </w:r>
          </w:p>
        </w:tc>
      </w:tr>
      <w:tr>
        <w:tc>
          <w:tcPr>
            <w:tcW w:type="dxa" w:w="3200"/>
            <w:tcBorders>
              <w:top w:val="single" w:color="E0E0E0" w:sz="1"/>
              <w:left w:val="single" w:color="E0E0E0" w:sz="1"/>
              <w:bottom w:val="single" w:color="E0E0E0" w:sz="1"/>
              <w:right w:val="single" w:color="E0E0E0" w:sz="1"/>
            </w:tcBorders>
            <w:shd w:fill="FEF2F2" w:val="clear"/>
            <w:tcMar>
              <w:top w:type="dxa" w:w="80"/>
              <w:left w:type="dxa" w:w="140"/>
              <w:bottom w:type="dxa" w:w="80"/>
              <w:right w:type="dxa" w:w="140"/>
            </w:tcMar>
          </w:tcPr>
          <w:p>
            <w:r>
              <w:rPr>
                <w:rFonts w:ascii="Calibri" w:cs="Calibri" w:eastAsia="Calibri" w:hAnsi="Calibri"/>
                <w:b/>
                <w:bCs/>
                <w:color w:val="2C2C2E"/>
                <w:sz w:val="20"/>
                <w:szCs w:val="20"/>
              </w:rPr>
              <w:t xml:space="preserve">Clinical Safety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20%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22/200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All clinical data in localStorage; GFE 100% placeholder; no audit trail</w:t>
            </w:r>
          </w:p>
        </w:tc>
      </w:tr>
      <w:tr>
        <w:tc>
          <w:tcPr>
            <w:tcW w:type="dxa" w:w="3200"/>
            <w:tcBorders>
              <w:top w:val="single" w:color="E0E0E0" w:sz="1"/>
              <w:left w:val="single" w:color="E0E0E0" w:sz="1"/>
              <w:bottom w:val="single" w:color="E0E0E0" w:sz="1"/>
              <w:right w:val="single" w:color="E0E0E0" w:sz="1"/>
            </w:tcBorders>
            <w:shd w:fill="FEF2F2" w:val="clear"/>
            <w:tcMar>
              <w:top w:type="dxa" w:w="80"/>
              <w:left w:type="dxa" w:w="140"/>
              <w:bottom w:type="dxa" w:w="80"/>
              <w:right w:type="dxa" w:w="140"/>
            </w:tcMar>
          </w:tcPr>
          <w:p>
            <w:r>
              <w:rPr>
                <w:rFonts w:ascii="Calibri" w:cs="Calibri" w:eastAsia="Calibri" w:hAnsi="Calibri"/>
                <w:b/>
                <w:bCs/>
                <w:color w:val="2C2C2E"/>
                <w:sz w:val="20"/>
                <w:szCs w:val="20"/>
              </w:rPr>
              <w:t xml:space="preserve">Data Persistence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15%</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30/150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Inventory is real; bookings, patients, visits — do not exist</w:t>
            </w:r>
          </w:p>
        </w:tc>
      </w:tr>
      <w:tr>
        <w:tc>
          <w:tcPr>
            <w:tcW w:type="dxa" w:w="3200"/>
            <w:tcBorders>
              <w:top w:val="single" w:color="E0E0E0" w:sz="1"/>
              <w:left w:val="single" w:color="E0E0E0" w:sz="1"/>
              <w:bottom w:val="single" w:color="E0E0E0" w:sz="1"/>
              <w:right w:val="single" w:color="E0E0E0" w:sz="1"/>
            </w:tcBorders>
            <w:shd w:fill="FEF2F2" w:val="clear"/>
            <w:tcMar>
              <w:top w:type="dxa" w:w="80"/>
              <w:left w:type="dxa" w:w="140"/>
              <w:bottom w:type="dxa" w:w="80"/>
              <w:right w:type="dxa" w:w="140"/>
            </w:tcMar>
          </w:tcPr>
          <w:p>
            <w:r>
              <w:rPr>
                <w:rFonts w:ascii="Calibri" w:cs="Calibri" w:eastAsia="Calibri" w:hAnsi="Calibri"/>
                <w:b/>
                <w:bCs/>
                <w:color w:val="2C2C2E"/>
                <w:sz w:val="20"/>
                <w:szCs w:val="20"/>
              </w:rPr>
              <w:t xml:space="preserve">Operational Readiness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15%</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30/150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Admin OS on mock data; nurse app fully disconnected</w:t>
            </w:r>
          </w:p>
        </w:tc>
      </w:tr>
      <w:tr>
        <w:tc>
          <w:tcPr>
            <w:tcW w:type="dxa" w:w="3200"/>
            <w:tcBorders>
              <w:top w:val="single" w:color="E0E0E0" w:sz="1"/>
              <w:left w:val="single" w:color="E0E0E0" w:sz="1"/>
              <w:bottom w:val="single" w:color="E0E0E0" w:sz="1"/>
              <w:right w:val="single" w:color="E0E0E0" w:sz="1"/>
            </w:tcBorders>
            <w:shd w:fill="FFFBEB" w:val="clear"/>
            <w:tcMar>
              <w:top w:type="dxa" w:w="80"/>
              <w:left w:type="dxa" w:w="140"/>
              <w:bottom w:type="dxa" w:w="80"/>
              <w:right w:type="dxa" w:w="140"/>
            </w:tcMar>
          </w:tcPr>
          <w:p>
            <w:r>
              <w:rPr>
                <w:rFonts w:ascii="Calibri" w:cs="Calibri" w:eastAsia="Calibri" w:hAnsi="Calibri"/>
                <w:b/>
                <w:bCs/>
                <w:color w:val="2C2C2E"/>
                <w:sz w:val="20"/>
                <w:szCs w:val="20"/>
              </w:rPr>
              <w:t xml:space="preserve">API / Integration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10%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45/100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Acuity+Stripe+Attio real; webhook missing; 6 integrations are localStorage</w:t>
            </w:r>
          </w:p>
        </w:tc>
      </w:tr>
      <w:tr>
        <w:tc>
          <w:tcPr>
            <w:tcW w:type="dxa" w:w="3200"/>
            <w:tcBorders>
              <w:top w:val="single" w:color="E0E0E0" w:sz="1"/>
              <w:left w:val="single" w:color="E0E0E0" w:sz="1"/>
              <w:bottom w:val="single" w:color="E0E0E0" w:sz="1"/>
              <w:right w:val="single" w:color="E0E0E0" w:sz="1"/>
            </w:tcBorders>
            <w:shd w:fill="FFFBEB" w:val="clear"/>
            <w:tcMar>
              <w:top w:type="dxa" w:w="80"/>
              <w:left w:type="dxa" w:w="140"/>
              <w:bottom w:type="dxa" w:w="80"/>
              <w:right w:type="dxa" w:w="140"/>
            </w:tcMar>
          </w:tcPr>
          <w:p>
            <w:r>
              <w:rPr>
                <w:rFonts w:ascii="Calibri" w:cs="Calibri" w:eastAsia="Calibri" w:hAnsi="Calibri"/>
                <w:b/>
                <w:bCs/>
                <w:color w:val="2C2C2E"/>
                <w:sz w:val="20"/>
                <w:szCs w:val="20"/>
              </w:rPr>
              <w:t xml:space="preserve">Frontend Code Quality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10%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68/100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Strong architecture; 720 missing key props; empty catch blocks; null crashes</w:t>
            </w:r>
          </w:p>
        </w:tc>
      </w:tr>
      <w:tr>
        <w:tc>
          <w:tcPr>
            <w:tcW w:type="dxa" w:w="3200"/>
            <w:tcBorders>
              <w:top w:val="single" w:color="E0E0E0" w:sz="1"/>
              <w:left w:val="single" w:color="E0E0E0" w:sz="1"/>
              <w:bottom w:val="single" w:color="E0E0E0" w:sz="1"/>
              <w:right w:val="single" w:color="E0E0E0" w:sz="1"/>
            </w:tcBorders>
            <w:shd w:fill="F0FDF4" w:val="clear"/>
            <w:tcMar>
              <w:top w:type="dxa" w:w="80"/>
              <w:left w:type="dxa" w:w="140"/>
              <w:bottom w:type="dxa" w:w="80"/>
              <w:right w:type="dxa" w:w="140"/>
            </w:tcMar>
          </w:tcPr>
          <w:p>
            <w:r>
              <w:rPr>
                <w:rFonts w:ascii="Calibri" w:cs="Calibri" w:eastAsia="Calibri" w:hAnsi="Calibri"/>
                <w:b/>
                <w:bCs/>
                <w:color w:val="2C2C2E"/>
                <w:sz w:val="20"/>
                <w:szCs w:val="20"/>
              </w:rPr>
              <w:t xml:space="preserve">UI / Design System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color w:val="555555"/>
                <w:sz w:val="20"/>
                <w:szCs w:val="20"/>
              </w:rPr>
              <w:t xml:space="preserve">10%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Calibri" w:cs="Calibri" w:eastAsia="Calibri" w:hAnsi="Calibri"/>
                <w:b/>
                <w:bCs/>
                <w:color w:val="111111"/>
                <w:sz w:val="20"/>
                <w:szCs w:val="20"/>
              </w:rPr>
              <w:t xml:space="preserve">88/100</w:t>
            </w:r>
          </w:p>
        </w:tc>
        <w:tc>
          <w:tcPr>
            <w:tcW w:type="dxa" w:w="376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i/>
                <w:iCs/>
                <w:color w:val="555555"/>
                <w:sz w:val="19"/>
                <w:szCs w:val="19"/>
              </w:rPr>
              <w:t xml:space="preserve">Genuinely premium. Framer Motion animations are polished.</w:t>
            </w:r>
          </w:p>
        </w:tc>
      </w:tr>
      <w:tr>
        <w:tc>
          <w:tcPr>
            <w:tcW w:type="dxa" w:w="3200"/>
            <w:tcBorders>
              <w:top w:val="single" w:color="111111" w:sz="1"/>
              <w:left w:val="single" w:color="111111" w:sz="1"/>
              <w:bottom w:val="single" w:color="111111" w:sz="1"/>
              <w:right w:val="single" w:color="111111" w:sz="1"/>
            </w:tcBorders>
            <w:shd w:fill="111111" w:val="clear"/>
            <w:tcMar>
              <w:top w:type="dxa" w:w="120"/>
              <w:left w:type="dxa" w:w="140"/>
              <w:bottom w:type="dxa" w:w="120"/>
              <w:right w:type="dxa" w:w="140"/>
            </w:tcMar>
          </w:tcPr>
          <w:p>
            <w:r>
              <w:rPr>
                <w:rFonts w:ascii="Calibri" w:cs="Calibri" w:eastAsia="Calibri" w:hAnsi="Calibri"/>
                <w:b/>
                <w:bCs/>
                <w:color w:val="FFFFFF"/>
                <w:sz w:val="22"/>
                <w:szCs w:val="22"/>
              </w:rPr>
              <w:t xml:space="preserve">TOTAL</w:t>
            </w:r>
          </w:p>
        </w:tc>
        <w:tc>
          <w:tcPr>
            <w:tcW w:type="dxa" w:w="1200"/>
            <w:tcBorders>
              <w:top w:val="single" w:color="111111" w:sz="1"/>
              <w:left w:val="single" w:color="111111" w:sz="1"/>
              <w:bottom w:val="single" w:color="111111" w:sz="1"/>
              <w:right w:val="single" w:color="111111" w:sz="1"/>
            </w:tcBorders>
            <w:shd w:fill="111111"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100%</w:t>
            </w:r>
          </w:p>
        </w:tc>
        <w:tc>
          <w:tcPr>
            <w:tcW w:type="dxa" w:w="1200"/>
            <w:tcBorders>
              <w:top w:val="single" w:color="111111" w:sz="1"/>
              <w:left w:val="single" w:color="111111" w:sz="1"/>
              <w:bottom w:val="single" w:color="111111" w:sz="1"/>
              <w:right w:val="single" w:color="111111" w:sz="1"/>
            </w:tcBorders>
            <w:shd w:fill="B91C1C"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271/1000</w:t>
            </w:r>
          </w:p>
        </w:tc>
        <w:tc>
          <w:tcPr>
            <w:tcW w:type="dxa" w:w="3760"/>
            <w:tcBorders>
              <w:top w:val="single" w:color="111111" w:sz="1"/>
              <w:left w:val="single" w:color="111111" w:sz="1"/>
              <w:bottom w:val="single" w:color="111111" w:sz="1"/>
              <w:right w:val="single" w:color="111111" w:sz="1"/>
            </w:tcBorders>
            <w:shd w:fill="111111" w:val="clear"/>
            <w:tcMar>
              <w:top w:type="dxa" w:w="120"/>
              <w:left w:type="dxa" w:w="140"/>
              <w:bottom w:type="dxa" w:w="120"/>
              <w:right w:type="dxa" w:w="140"/>
            </w:tcMar>
          </w:tcPr>
          <w:p>
            <w:r>
              <w:rPr>
                <w:rFonts w:ascii="Calibri" w:cs="Calibri" w:eastAsia="Calibri" w:hAnsi="Calibri"/>
                <w:i/>
                <w:iCs/>
                <w:color w:val="AAAAAA"/>
                <w:sz w:val="20"/>
                <w:szCs w:val="20"/>
              </w:rPr>
              <w:t xml:space="preserve">Not safe for real clinical operations</w:t>
            </w:r>
          </w:p>
        </w:tc>
      </w:tr>
    </w:tbl>
    <w:p>
      <w:r>
        <w:br w:type="page"/>
      </w:r>
    </w:p>
    <w:p>
      <w:pPr>
        <w:pStyle w:val="Heading1"/>
        <w:spacing w:after="200" w:before="480"/>
      </w:pPr>
      <w:r>
        <w:rPr>
          <w:rFonts w:ascii="Calibri" w:cs="Calibri" w:eastAsia="Calibri" w:hAnsi="Calibri"/>
          <w:b/>
          <w:bCs/>
          <w:color w:val="111111"/>
          <w:sz w:val="42"/>
          <w:szCs w:val="42"/>
        </w:rPr>
        <w:t xml:space="preserve">Top 20 Critical Pre-API Audits</w:t>
      </w:r>
    </w:p>
    <w:p>
      <w:pPr>
        <w:spacing w:after="40" w:before="40"/>
      </w:pPr>
      <w:r>
        <w:rPr>
          <w:rFonts w:ascii="Calibri" w:cs="Calibri" w:eastAsia="Calibri" w:hAnsi="Calibri"/>
          <w:color w:val="2C2C2E"/>
          <w:sz w:val="21"/>
          <w:szCs w:val="21"/>
        </w:rPr>
        <w:t xml:space="preserve">Ranked by combined severity, patient safety risk, and blast radius. Read every single one before shipping a single API key.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#01</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Hardcoded Demo Password Ships in Production Bundle</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src/lib/useAuthStore.js + src/pages/Login.jsx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22 / 18</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The literal string "JonJones1986" is embedded in the compiled JS bundle and sent to every client.</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const DEMO_PASSWORD = import.meta.env.VITE_AVALON_DEMO_PASSWORD || 'JonJones1986' — Vite bakes this into the minified output at build time. If VITE_AVALON_DEMO_PASSWORD is not set in the deployment environment (which it isn't), anyone who opens DevTools → Sources or runs strings on the bundle gets the active credential for ADMIN001, NURSE001, NP001, and PHYSICIAN001. The password is independently redefined in Login.jsx line 18 with the same fallback — two files, one secret, zero security. The string also exists in git history across multiple commits. Rotating the env var doesn't clean the history.</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Remove both || 'JonJones1986' fallbacks. If the env var is absent, throw at app boot. Rewrite git history with git filter-repo to purge the literal string from all commits. Set a real env var in Vercel before any deployment.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#02</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Stripe Redirects Paying Customers to Localhost</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api/create-checkout-session.js + .env.local</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~263 / line 1</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PUBLIC_SITE_URL is set to http://127.0.0.1:5173 — every real Stripe checkout sends paid customers to a dead localhost port.</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success_url and cancel_url passed to Stripe are built from PUBLIC_SITE_URL. The current value is http://127.0.0.1:5173. When the API is live and a customer completes a real Stripe payment, they are redirected to their own local port 5173 which does not exist. Their browser shows a connection refused error. The payment succeeds in Stripe but the customer sees nothing. The booking appears completed server-side but the customer has no confirmation. This is a one-line env var misconfiguration that will silently break every real booking.</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Set PUBLIC_SITE_URL=https://avalonvitality.co in the Vercel environment before enabling live API mode. Add a startup assertion in create-checkout-session.js: if PUBLIC_SITE_URL includes localhost or 127.0.0.1 and AVALON_ENABLE_LIVE_API is true, return a 503 immediately.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#03</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Auth Is Entirely Client-Side — Any sessionStorage Write = Full Admin Access</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src/lib/useAuthStore.js + src/App.jsx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27–37 / 14–26</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RequireAuth trusts a plain-text role stored in sessionStorage with zero server validation.</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auth flow: user submits credentials → useAuthStore compares against DEMO_PASSWORD → on match, writes { role: 'admin', id: crypto.randomUUID() } to sessionStorage. RequireAuth in App.jsx reads this object from useAuthStore and renders admin routes if role matches. There is no JWT, no server cookie, no token validation on any API route. Anyone who opens DevTools and runs sessionStorage.setItem('av.session', JSON.stringify({ role: 'admin', authMode: 'local-preview', expiresAt: Date.now() + 999999999 })) has full admin access to every route in the platform. All of /admin/*, /provider/*, and /members/* are protected by this check alone.</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Before shipping: replace demo auth with Supabase Auth. In the interim, add a server-side /api/auth/verify endpoint that checks the session token and is called by RequireAuth on mount before rendering any protected content. Never trust client-side role state without server confirmation.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#04</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Stripe Webhook Does Not Exist — Payment Success Is Never Confirmed</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api/integrations/stripe/ (missing file)</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N/A</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There is no webhook handler. Stripe fires checkout.session.completed into the void. Avalon has no server-side confirmation any booking was paid for.</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directory api/integrations/stripe/ contains only test.js. There is no webhook.js. This means: when a customer completes Stripe checkout, Stripe sends checkout.session.completed to a webhook URL that doesn't exist. Avalon never receives it. The booking has no server-confirmed paid status. Separately, when a customer abandons the Stripe checkout page (closes the tab, card declines), Stripe fires checkout.session.expired. Avalon never receives that either — so the Acuity appointment created before Stripe redirect stays booked permanently, blocking that slot from anyone else. Additionally, stripe subscription events (created, cancelled, past_due) are never received — membership status is never synced.</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Create api/integrations/stripe/webhook.js. Handle checkout.session.completed → mark booking paid + trigger confirmation email. Handle checkout.session.expired → call cancelAppointment() in _acuity.js to release the slot. Handle customer.subscription.updated/deleted → sync membership status.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#05</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Checkout Creates Acuity Appointment BEFORE Stripe — No Rollback on Failure</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api/create-checkout-session.js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234–281</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If Stripe session creation fails after Acuity books the slot, the slot is permanently held with no cleanup.</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Line 234 calls createSchedulingAppointment() and gets a confirmed Acuity appointment ID. Line 259 then creates the Stripe Checkout session. If Stripe throws (invalid key, network timeout, rate limit), the catch block at line 281 logs a reconciliation note and returns a 500 — but never calls cancelAppointment(). The Acuity slot is now permanently booked. No customer is charged. No appointment can be booked in that slot. In a high-traffic window (a launch day, a promotional push), failed Stripe calls will silently eat calendar availability. There is no cleanup job, no retry, no admin alert.</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Reverse the order: create the Stripe Checkout session first, use the session ID as a reference, then create the Acuity appointment. Alternatively: keep current order but add explicit Acuity cancellation in the catch block. Set a 10-minute Acuity appointment expiry via a cleanup cron as a safety net.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#06</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/checkout/success Is Exploitable — No Payment Verification</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src/pages/CheckoutSuccess.jsx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16–17</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Any user can navigate to /checkout/success?type=subscription without completing payment and receive a confirmation screen.</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CheckoutSuccess page reads params.get('type') from the URL and renders "Subscription Confirmed" or "Booking Confirmed" based purely on that string. The session_id query param that Stripe appends (?session_id={CHECKOUT_SESSION_ID}) is present in the URL but completely ignored by the component. There is no call to verify the session against Stripe's API. A user can type /checkout/success?type=subscription directly into their browser with no payment and see the full success experience including the member portal CTA. This is also a phishing vector — anyone can send a link that looks like a confirmed Avalon booking.</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On mount, extract session_id from the URL and POST it to /api/checkout/verify which calls stripe.checkout.sessions.retrieve(session_id) and checks payment_status === 'paid'. If session_id is missing or payment_status is not paid, redirect to /checkout with an error message.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#07</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Real Credentials Exist on Disk in .env.local</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.env.local</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entire file</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Live Acuity API key, Stripe secret key, and Attio access token are in a file that exists on every developer machine.</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file contains: ACUITY_API_KEY=e92bed61... (live Acuity credential), STRIPE_SECRET_KEY=sk_test_51TZyiX... (Stripe test key that controls real session creation), ATTIO_ACCESS_TOKEN=30ca37... (live CRM credential that can read and write all customer data). While .gitignore correctly excludes .env*.local, the file physically exists on disk. Any CI runner, backup tool, or screen share exposes it. The Acuity and Attio tokens are particularly dangerous — they grant read/write access to the scheduling system and CRM with no scope restriction.</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Rotate all three credentials immediately regardless of exposure. Move all secrets to Vercel environment variables only — never on developer disk for production credentials. Use separate API keys for dev vs. production environments. Add a pre-commit hook that scans for common secret patterns (sk_live_, Bearer tokens, API keys).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#08</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success_url Built From Request Host Header — Open Redirect Vulnerability</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api/create-checkout-session.js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~263 (publicBaseUrl call)</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An attacker can set Host: evil.com in a crafted request and redirect Stripe-paying customers to an arbitrary domain.</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publicBaseUrl(req) function derives the base URL for Stripe's success_url and cancel_url from req.headers?.host when PUBLIC_SITE_URL is not set. An attacker sends a POST to /api/create-checkout-session with a forged Host header (Host: attacker.com). The Stripe session is created with success_url: https://attacker.com/booking/confirmation?session_id=... Stripe follows this URL after payment. The customer completes a real payment and lands on an attacker-controlled page. This is a phishing-quality open redirect on a live payment flow.</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Make PUBLIC_SITE_URL a hard required env var. If it is absent or if it resolves to localhost, return 503 immediately. Never derive payment redirect URLs from any request header. Add an assertion: if (!process.env.PUBLIC_SITE_URL) throw new Error('PUBLIC_SITE_URL required').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87171"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EF2F2" w:val="clear"/>
                  <w:tcMar>
                    <w:top w:type="dxa" w:w="60"/>
                    <w:left w:type="dxa" w:w="80"/>
                    <w:bottom w:type="dxa" w:w="60"/>
                    <w:right w:type="dxa" w:w="80"/>
                  </w:tcMar>
                  <w:vAlign w:val="center"/>
                </w:tcPr>
                <w:p>
                  <w:pPr>
                    <w:jc w:val="center"/>
                  </w:pPr>
                  <w:r>
                    <w:rPr>
                      <w:rFonts w:ascii="Calibri" w:cs="Calibri" w:eastAsia="Calibri" w:hAnsi="Calibri"/>
                      <w:b/>
                      <w:bCs/>
                      <w:color w:val="B91C1C"/>
                      <w:sz w:val="28"/>
                      <w:szCs w:val="28"/>
                    </w:rPr>
                    <w:t xml:space="preserve">#09</w:t>
                  </w:r>
                </w:p>
              </w:tc>
              <w:tc>
                <w:tcPr>
                  <w:tcW w:type="dxa" w:w="18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CRITICAL</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Operator's Real Email Hardcoded in Production Bundle</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src/data/adminMockData.js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6</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joseph@avalonvitality.co is hardcoded as admin staff in a JS file that ships to every client.</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adminMockData.js line 6 includes { email: 'joseph@avalonvitality.co', role: 'admin', ... } as a hardcoded staff entry. This file is imported in the admin portal and compiled into the production bundle. Every visitor who downloads the JS bundle has the operator's real email address, which can be used for targeted phishing, credential stuffing, and social engineering attacks specific to Avalon.</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Delete or replace all real personal information in mock data files immediately. Replace with generic placeholders (admin@example.com, staff@example.com). Add a CI lint rule that blocks any @avalonvitality.co email from appearing in non-environment source files.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#10</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Admin OS and Nurse App Run Entirely on Hardcoded Mock Data</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src/data/commandMockData.js + src/pages/admin/Command.jsx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30–223 / 102–224</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Every dispatch action, nurse assignment, and finance entry in the admin writes to localStorage and reads from fictional clients including Serena Williams.</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commandMockData.js defines 8 fictional booking requests, 5 fictional nurses, 6 follow-ups, 7 payments, 5 memberships, and 5 enterprise leads. Command.jsx imports this data AND defines a second independent inline REQUESTS/NURSES/PAYMENTS block (lines 102–224) — two diverging mock data sources rendered simultaneously. The nurse shift app reads from the same fixture. All dispatch actions (queueDispatchBroadcast, acceptDispatchBroadcast) write to localStorage on the admin's browser. These writes are invisible to the nurse's phone. There is no live data anywhere in the operational command layer.</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Before production: replace commandMockData.js imports with Supabase queries behind a DEV guard (if (import.meta.env.DEV) use mock, else fetch real data). Delete the inline duplicate data block in Command.jsx lines 102–224. Gate all mock data imports with import.meta.env.DEV to prevent them from compiling into production bundles.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#11</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DEFAULT_CLIENT_PROFILE Seeds PHI Placeholders as Real Patient Data</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src/lib/platformOps.js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1747–1785</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Every new client sees allergies: ['Latex sensitivity'] and contraindications: ['Review pregnancy status before treatment'] as their default health profile.</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readClientProfile() merges saved data with DEFAULT_CLIENT_PROFILE. For any client who hasn't saved a profile, their displayed clinical data includes fabricated health information. The allergies field shows ['Latex sensitivity'], medications shows ['None reported'], and contraindications shows ['Review pregnancy status before treatment']. A nurse dispatched to a patient whose allergies appear to be on file may not ask — the system implies the record is real. Additionally, this default is never passed through writeLocal, so redactLocalPhi does not strip it. The PHI placeholder bypasses the redaction layer entirely.</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Set DEFAULT_CLIENT_PROFILE clinical fields to [] (empty arrays) and null. Scaffold only: { allergies: [], medications: [], medicalConditions: [], contraindications: [], dob: null }. Any health data must come from an explicit patient-entered record, never from a default.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#12</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GFE Clearance Gate Is a localStorage Flag Anyone Can Set to Cleared</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src/lib/clinicalClearance.js + src/lib/bookingLifecycle.js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70–93 / 80–82</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The clinical clearance gate that determines whether a patient can be dispatched a nurse checks a localStorage flag with no server validation.</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clinicalClearance.js evaluates the GFE checkpoint by reading booking.gfe from a local object. bookingLifecycle.js resolveGfeRequirement() contains a legacyCleared path (lines 80–82) that returns required: false, status: 'Valid' for any returning client whose record has status: 'cleared' with no expiresAt date — meaning any old record with no timestamp is permanently valid. Both paths read from localStorage. The dispatch gate (isClearedForDispatch) passes when these flags are set — but they can be set by any code path, any dev action, or any direct localStorage write. No GFE provider is connected. A nurse can be dispatched to a patient with zero actual GFE.</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Until real GFE is implemented: make the dispatch gate fail-closed. If no confirmed GFE document ID exists from a real provider (Qualiphy or Avalon NP), isClearedForDispatch must return false unconditionally. Remove the legacyCleared bypass path. Add a UI warning in admin dispatch: "GFE not verified — manual clinical review required before dispatch."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#13</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Non-Card Payment Methods Are Selectable But Always Submit Card Checkout</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src/pages/Checkout.jsx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671–677</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Users who select Apple Pay, Google Pay, or Crypto are silently sent to a Stripe card form regardless of their selection.</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payment method selector UI renders four tiles: Card, Apple Pay, Google Pay, and Crypto. All four are clickable and set paymentMethod state. handleCheckout fires identically regardless of which method is selected — it always POSTs to /api/create-checkout-session which always creates a Stripe card checkout session. A user who selects Google Pay sees it highlighted, clicks "Pay Now," and lands on a Stripe-hosted page asking for a credit card number. There is no error, no explanation, no indication their selected method was ignored. The Apple Pay and Google Pay tiles explicitly say "Provider ready" — implying they are functional.</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Option A (correct): Remove Apple Pay, Google Pay, and Crypto tiles entirely until those payment methods are actually integrated. Option B (acceptable interim): Disable the tiles with a clear "Coming soon" label and prevent selection. Never allow a user to select a payment method that is not actually wired.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#14</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contact Is Null at Step 3 on Membership-Only Checkout Path — Guaranteed Crash</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src/pages/Checkout.jsx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667 / 859–861</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A user on the membership-only checkout path who reaches PaymentStep hits contact.firstName on a null object and crashes.</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contact is initialized as useState(prefill.contact) where prefill.contact is null when no draft or lastBooking exists. On the membership-only path (hasOnlyMembership skips to step 2 → ContactStep → step 3), ContactStep calls setContact(data) which sets contact before reaching PaymentStep — this path is fine. However, PaymentStep renders contact.firstName at line 859 with no null guard. If a user arrives at step 3 via direct URL, back-navigation, or stale state where setContact was never called, this is an uncaught TypeError: Cannot read properties of null (reading 'firstName') that crashes the checkout component and shows the ErrorBoundary. The user loses their cart and all progress.</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Initialize contact as useState(prefill.contact || {}) instead of null. Add optional chaining on every contact property access in PaymentStep: contact?.firstName, contact?.email, contact?.phone.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#15</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passwordReset Is a Stub That Always Returns Success — Users Can Never Recover Accounts</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src/lib/useAuthStore.js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114–128</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requestPasswordReset simulates a 600ms delay and unconditionally returns { ok: true } — no email is ever sent.</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The function body: await new Promise(resolve =&gt; setTimeout(resolve, 600)); return { ok: true, message: '...' }. The Login.jsx UI displays "Check your email for a reset link" after this returns. No email provider is called. No reset token is generated. No action occurs. A locked-out user submits a password reset, sees a success message, checks their email, finds nothing, and has no path to account recovery. In a real clinical platform, a nurse or patient locked out before a scheduled visit has no recourse.</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Wire requestPasswordReset to the real auth provider immediately: Supabase resetPasswordForEmail(email), Firebase sendPasswordResetEmail(auth, email), or equivalent. If auth is not yet implemented, throw new Error('Auth not configured') so the UI surfaces a real failure state instead of a false success.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#16</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All Intake, Vitals, Consent, and Adverse Events Are localStorage-Only</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src/lib/localOs.js + src/lib/platformOps.js + NurseShift.jsx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49–57 / 1747 / passim</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Every piece of clinical data — allergies, DOB, medications, emergency contacts, vitals, adverse event notes, visit closeouts — lives only in browser localStorage.</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saveBookingDraft → writeLocal. syncVisitKitUsage → writeLocal. saveNurseVisitNote → writeLocal. saveAcuityCloseoutPacket → writeLocal. The nurse's localStorage is on her phone. The admin's localStorage is on their desktop. A patient's intake data from the checkout is on the customer's device. These are completely disconnected stores. Clearing the browser clears the clinical record. A different device sees nothing. An attorney subpoenaing records gets nothing. The comment in acuityCloseout.js says VISIT_CLOSEOUT_MODE = 'acuity-closeout-placeholder' — the code knows this is not real.</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This is a Phase 2 item (requires Supabase tables). For pre-API: at minimum, collect and store all clinical data fields in a structured object and console.warn in dev when any clinical data is written to localStorage. Build the data shape correctly now so the Supabase migration is a lift-and-shift, not a redesign.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#17</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Empty catch {} Blocks Swallow Critical Failures Across the Codebase</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src/pages/Checkout.jsx + src/pages/admin/Inventory.jsx + src/main.jsx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275 / 616 / 9</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Three separate empty catch blocks silently swallow errors that should surface to the user or trigger a retry.</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Checkout.jsx line 275: catch {} in findNextAvailable — 14 sequential Acuity API calls fail silently; user sees nothing, loading spinner may stick. Inventory.jsx line 621: .then(rows =&gt; { setTxLoading(false) }) with no .catch() — a rejected promise leaves txLoading permanently true; the Orders tab shows a spinner forever. main.jsx line 9: catch {} on the localStorage theme migration — fails silently on every page load in private browsing, repeatedly re-attempting and never completing. Empty catch blocks are never acceptable on user-facing flows.</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Checkout.jsx: replace catch {} with catch(err) { setSlotsError('Could not find available slots. Please try again.') }. Inventory.jsx: add .catch(err =&gt; { setTxLoading(false); setTxError(err.message) }). main.jsx: add if (import.meta.env.DEV) console.warn('[theme-migration]', e) and set a memory flag to prevent re-runs.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#18</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isAttioConfigured() Always Returns False in the Browser — VITE_ Prefix Missing</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src/lib/attioPlaceholder.js</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24</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The function checks import.meta.env.ATTIO_ACCESS_TOKEN which is never exposed to the browser because it lacks the VITE_ prefix — the integration status always shows as unconfigured in any browser UI.</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Vite only exposes environment variables prefixed with VITE_ to client-side code. ATTIO_ACCESS_TOKEN (no VITE_ prefix) is correctly kept server-side only — but isAttioConfigured() is called from browser UI components to show integration status. The function will always return false in the browser regardless of whether Attio is actually configured and working. Any admin UI that checks isAttioConfigured() to show a green "Connected" status will permanently show "Not configured" even when the server-side integration is live.</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Add a VITE_ATTIO_CONFIGURED=true environment variable (boolean only — never the actual token) for browser status checks. Update isAttioConfigured() to read this flag for browser contexts. Keep the actual token server-side only.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FCD34D"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FFBEB" w:val="clear"/>
                  <w:tcMar>
                    <w:top w:type="dxa" w:w="60"/>
                    <w:left w:type="dxa" w:w="80"/>
                    <w:bottom w:type="dxa" w:w="60"/>
                    <w:right w:type="dxa" w:w="80"/>
                  </w:tcMar>
                  <w:vAlign w:val="center"/>
                </w:tcPr>
                <w:p>
                  <w:pPr>
                    <w:jc w:val="center"/>
                  </w:pPr>
                  <w:r>
                    <w:rPr>
                      <w:rFonts w:ascii="Calibri" w:cs="Calibri" w:eastAsia="Calibri" w:hAnsi="Calibri"/>
                      <w:b/>
                      <w:bCs/>
                      <w:color w:val="92400E"/>
                      <w:sz w:val="28"/>
                      <w:szCs w:val="28"/>
                    </w:rPr>
                    <w:t xml:space="preserve">#19</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HIGH</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Deposit Amount Hardcoded Independently in API and Frontend — Sync Risk</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api/create-checkout-session.js + src/pages/Checkout.jsx</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249 / 21</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The $50 deposit is defined as a literal number in two separate files with no shared source of truth — a change in one silently breaks the other.</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src/pages/Checkout.jsx line 21: const DEPOSIT_DUE = 50. api/create-checkout-session.js line 249: const depositAmount = 50. These are two independent constants with no import relationship. If the deposit changes to $75 for a new service tier, a developer who updates only the frontend shows the customer "$75 today" while the Stripe session charges $50. Or vice versa: the API charges $75 but the checkout UI showed $50. Neither the customer nor the developer sees an immediate error — the discrepancy surfaces only in reconciliation. In a live billing environment this is a financial compliance issue.</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Define deposit amounts in a single shared configuration: either an environment variable (DEPOSIT_AMOUNT_CENTS=5000) read by both the API and exposed as VITE_DEPOSIT_AMOUNT_CENTS to the frontend, or a shared JSON config file imported by both. Never hardcode money amounts in two places.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2"/>
              <w:bottom w:val="single" w:color="E0E0E0" w:sz="1"/>
              <w:right w:val="single" w:color="E0E0E0" w:sz="1"/>
            </w:tcBorders>
            <w:shd w:fill="FFFFFF" w:val="clear"/>
            <w:tcMar>
              <w:top w:type="dxa" w:w="16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400"/>
            </w:tblGrid>
            <w:tr>
              <w:tc>
                <w:tcPr>
                  <w:tcW w:type="dxa" w:w="600"/>
                  <w:tcBorders>
                    <w:top w:val="single" w:color="FFFFFF" w:sz="1"/>
                    <w:left w:val="single" w:color="FFFFFF" w:sz="1"/>
                    <w:bottom w:val="single" w:color="FFFFFF" w:sz="1"/>
                    <w:right w:val="single" w:color="FFFFFF" w:sz="1"/>
                  </w:tcBorders>
                  <w:shd w:fill="F2F2F2" w:val="clear"/>
                  <w:tcMar>
                    <w:top w:type="dxa" w:w="60"/>
                    <w:left w:type="dxa" w:w="80"/>
                    <w:bottom w:type="dxa" w:w="60"/>
                    <w:right w:type="dxa" w:w="80"/>
                  </w:tcMar>
                  <w:vAlign w:val="center"/>
                </w:tcPr>
                <w:p>
                  <w:pPr>
                    <w:jc w:val="center"/>
                  </w:pPr>
                  <w:r>
                    <w:rPr>
                      <w:rFonts w:ascii="Calibri" w:cs="Calibri" w:eastAsia="Calibri" w:hAnsi="Calibri"/>
                      <w:b/>
                      <w:bCs/>
                      <w:color w:val="2C2C2E"/>
                      <w:sz w:val="28"/>
                      <w:szCs w:val="28"/>
                    </w:rPr>
                    <w:t xml:space="preserve">#20</w:t>
                  </w:r>
                </w:p>
              </w:tc>
              <w:tc>
                <w:tcPr>
                  <w:tcW w:type="dxa" w:w="1800"/>
                  <w:tcBorders>
                    <w:top w:val="single" w:color="374151" w:sz="1"/>
                    <w:left w:val="single" w:color="374151" w:sz="1"/>
                    <w:bottom w:val="single" w:color="374151" w:sz="1"/>
                    <w:right w:val="single" w:color="374151" w:sz="1"/>
                  </w:tcBorders>
                  <w:shd w:fill="374151" w:val="clear"/>
                  <w:tcMar>
                    <w:top w:type="dxa" w:w="100"/>
                    <w:left w:type="dxa" w:w="160"/>
                    <w:bottom w:type="dxa" w:w="100"/>
                    <w:right w:type="dxa" w:w="160"/>
                  </w:tcMar>
                  <w:vAlign w:val="center"/>
                </w:tcPr>
                <w:p>
                  <w:pPr>
                    <w:jc w:val="center"/>
                  </w:pPr>
                  <w:r>
                    <w:rPr>
                      <w:rFonts w:ascii="Calibri" w:cs="Calibri" w:eastAsia="Calibri" w:hAnsi="Calibri"/>
                      <w:b/>
                      <w:bCs/>
                      <w:color w:val="FFFFFF"/>
                      <w:sz w:val="19"/>
                      <w:szCs w:val="19"/>
                    </w:rPr>
                    <w:t xml:space="preserve">◆  MEDIUM</w:t>
                  </w:r>
                </w:p>
              </w:tc>
              <w:tc>
                <w:tcPr>
                  <w:tcW w:type="dxa" w:w="6400"/>
                  <w:tcBorders>
                    <w:top w:val="single" w:color="FFFFFF" w:sz="1"/>
                    <w:left w:val="single" w:color="FFFFFF" w:sz="1"/>
                    <w:bottom w:val="single" w:color="FFFFFF" w:sz="1"/>
                    <w:right w:val="single" w:color="FFFFFF" w:sz="1"/>
                  </w:tcBorders>
                  <w:shd w:fill="FFFFFF" w:val="clear"/>
                  <w:tcMar>
                    <w:top w:type="dxa" w:w="60"/>
                    <w:left w:type="dxa" w:w="200"/>
                    <w:bottom w:type="dxa" w:w="60"/>
                    <w:right w:type="dxa" w:w="80"/>
                  </w:tcMar>
                </w:tcPr>
                <w:p>
                  <w:r>
                    <w:rPr>
                      <w:rFonts w:ascii="Calibri" w:cs="Calibri" w:eastAsia="Calibri" w:hAnsi="Calibri"/>
                      <w:b/>
                      <w:bCs/>
                      <w:color w:val="111111"/>
                      <w:sz w:val="24"/>
                      <w:szCs w:val="24"/>
                    </w:rPr>
                    <w:t xml:space="preserve">720 .map() Calls in JSX Return Elements Without key Props</w:t>
                  </w:r>
                </w:p>
              </w:tc>
            </w:tr>
          </w:tbl>
          <w:p>
            <w:pPr>
              <w:spacing w:before="80"/>
            </w:pPr>
          </w:p>
          <w:p>
            <w:pPr>
              <w:spacing w:after="120" w:before="60"/>
            </w:pPr>
            <w:r>
              <w:rPr>
                <w:rFonts w:ascii="Calibri" w:cs="Calibri" w:eastAsia="Calibri" w:hAnsi="Calibri"/>
                <w:b/>
                <w:bCs/>
                <w:color w:val="AAAAAA"/>
                <w:sz w:val="18"/>
                <w:szCs w:val="18"/>
              </w:rPr>
              <w:t xml:space="preserve">FILE  </w:t>
            </w:r>
            <w:r>
              <w:rPr>
                <w:rFonts w:ascii="Courier New" w:cs="Courier New" w:eastAsia="Courier New" w:hAnsi="Courier New"/>
                <w:color w:val="1D4ED8"/>
                <w:sz w:val="18"/>
                <w:szCs w:val="18"/>
              </w:rPr>
              <w:t xml:space="preserve">src/components/* (systemic)</w:t>
            </w:r>
            <w:r>
              <w:rPr>
                <w:rFonts w:ascii="Calibri" w:cs="Calibri" w:eastAsia="Calibri" w:hAnsi="Calibri"/>
                <w:b/>
                <w:bCs/>
                <w:color w:val="AAAAAA"/>
                <w:sz w:val="18"/>
                <w:szCs w:val="18"/>
              </w:rPr>
              <w:t xml:space="preserve">   LINE  </w:t>
            </w:r>
            <w:r>
              <w:rPr>
                <w:rFonts w:ascii="Courier New" w:cs="Courier New" w:eastAsia="Courier New" w:hAnsi="Courier New"/>
                <w:color w:val="1D4ED8"/>
                <w:sz w:val="18"/>
                <w:szCs w:val="18"/>
              </w:rPr>
              <w:t xml:space="preserve">multiple</w:t>
            </w:r>
          </w:p>
          <w:p>
            <w:pPr>
              <w:spacing w:after="80" w:before="0"/>
            </w:pPr>
            <w:r>
              <w:rPr>
                <w:rFonts w:ascii="Calibri" w:cs="Calibri" w:eastAsia="Calibri" w:hAnsi="Calibri"/>
                <w:b/>
                <w:bCs/>
                <w:color w:val="AAAAAA"/>
                <w:sz w:val="18"/>
                <w:szCs w:val="18"/>
              </w:rPr>
              <w:t xml:space="preserve">ISSUE  </w:t>
            </w:r>
            <w:r>
              <w:rPr>
                <w:rFonts w:ascii="Calibri" w:cs="Calibri" w:eastAsia="Calibri" w:hAnsi="Calibri"/>
                <w:b/>
                <w:bCs/>
                <w:color w:val="111111"/>
                <w:sz w:val="21"/>
                <w:szCs w:val="21"/>
              </w:rPr>
              <w:t xml:space="preserve">React will exhibit non-deterministic list reconciliation across the entire component tree — a systemic issue affecting every dynamic list.</w:t>
            </w:r>
          </w:p>
          <w:p>
            <w:pPr>
              <w:spacing w:after="30" w:before="0"/>
            </w:pPr>
            <w:r>
              <w:rPr>
                <w:rFonts w:ascii="Calibri" w:cs="Calibri" w:eastAsia="Calibri" w:hAnsi="Calibri"/>
                <w:b/>
                <w:bCs/>
                <w:color w:val="AAAAAA"/>
                <w:sz w:val="18"/>
                <w:szCs w:val="18"/>
              </w:rPr>
              <w:t xml:space="preserve">DETAIL  </w:t>
            </w:r>
          </w:p>
          <w:p>
            <w:pPr>
              <w:spacing w:after="120" w:before="0"/>
            </w:pPr>
            <w:r>
              <w:rPr>
                <w:rFonts w:ascii="Calibri" w:cs="Calibri" w:eastAsia="Calibri" w:hAnsi="Calibri"/>
                <w:color w:val="2C2C2E"/>
                <w:sz w:val="20"/>
                <w:szCs w:val="20"/>
              </w:rPr>
              <w:t xml:space="preserve">A grep of all .map() calls in JSX files vs. those that include key= on the returned element returns 720 instances without keys. Confirmed instances: TreatmentsTeaser.jsx lines 126, 208, 260; MemberBottomNav.jsx line 39; Testimonials.jsx line 155; Footer.jsx lines 103, 138; RecoveryMenuSection.jsx line 474; MembershipSection.jsx line 211 — and hundreds more. In development, React emits a warning per instance. In production, missing keys cause incorrect component reuse during list re-renders: state leaks between list items, animations fire on the wrong elements, and conditional renders inside list items can show the wrong content. In a list of appointment cards, a missing key means re-ordering or filtering could show the wrong patient's data in the wrong card.</w:t>
            </w:r>
          </w:p>
          <w:p>
            <w:pPr>
              <w:pBdr>
                <w:top w:val="single" w:color="E0E0E0" w:sz="2" w:space="1"/>
              </w:pBdr>
              <w:spacing w:after="60" w:before="100"/>
            </w:pPr>
            <w:r>
              <w:rPr>
                <w:rFonts w:ascii="Calibri" w:cs="Calibri" w:eastAsia="Calibri" w:hAnsi="Calibri"/>
                <w:b/>
                <w:bCs/>
                <w:color w:val="15803D"/>
                <w:sz w:val="18"/>
                <w:szCs w:val="18"/>
              </w:rPr>
              <w:t xml:space="preserve">FIX  </w:t>
            </w:r>
            <w:r>
              <w:rPr>
                <w:rFonts w:ascii="Calibri" w:cs="Calibri" w:eastAsia="Calibri" w:hAnsi="Calibri"/>
                <w:color w:val="15803D"/>
                <w:sz w:val="20"/>
                <w:szCs w:val="20"/>
              </w:rPr>
              <w:t xml:space="preserve">Run a codebase-wide search for .map( and add stable key props to every JSX element returned. Use item IDs where available. For static lists, use the item label as key. Never use array index unless the list is static and never filtered or reordered. Add a no-missing-key eslint rule to catch regressions.</w:t>
            </w:r>
          </w:p>
        </w:tc>
      </w:tr>
    </w:tbl>
    <w:p>
      <w:pPr>
        <w:spacing w:before="160"/>
      </w:pPr>
    </w:p>
    <w:p>
      <w:r>
        <w:br w:type="page"/>
      </w:r>
    </w:p>
    <w:p>
      <w:pPr>
        <w:pStyle w:val="Heading1"/>
        <w:spacing w:after="200" w:before="480"/>
      </w:pPr>
      <w:r>
        <w:rPr>
          <w:rFonts w:ascii="Calibri" w:cs="Calibri" w:eastAsia="Calibri" w:hAnsi="Calibri"/>
          <w:b/>
          <w:bCs/>
          <w:color w:val="111111"/>
          <w:sz w:val="42"/>
          <w:szCs w:val="42"/>
        </w:rPr>
        <w:t xml:space="preserve">Pre-API Fix Priority Matrix</w:t>
      </w:r>
    </w:p>
    <w:p>
      <w:pPr>
        <w:spacing w:after="40" w:before="40"/>
      </w:pPr>
      <w:r>
        <w:rPr>
          <w:rFonts w:ascii="Calibri" w:cs="Calibri" w:eastAsia="Calibri" w:hAnsi="Calibri"/>
          <w:color w:val="2C2C2E"/>
          <w:sz w:val="21"/>
          <w:szCs w:val="21"/>
        </w:rPr>
        <w:t xml:space="preserve">Fix in this order. The first eight eliminate existential risk. The rest prevent operational failure.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400"/>
        <w:gridCol w:w="5200"/>
      </w:tblGrid>
      <w:tr>
        <w:tc>
          <w:tcPr>
            <w:tcW w:type="dxa" w:w="560"/>
            <w:tcBorders>
              <w:top w:val="single" w:color="111111" w:sz="1"/>
              <w:left w:val="single" w:color="111111" w:sz="1"/>
              <w:bottom w:val="single" w:color="111111" w:sz="1"/>
              <w:right w:val="single" w:color="111111" w:sz="1"/>
            </w:tcBorders>
            <w:shd w:fill="111111"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2200"/>
            <w:tcBorders>
              <w:top w:val="single" w:color="111111" w:sz="1"/>
              <w:left w:val="single" w:color="111111" w:sz="1"/>
              <w:bottom w:val="single" w:color="111111" w:sz="1"/>
              <w:right w:val="single" w:color="111111" w:sz="1"/>
            </w:tcBorders>
            <w:shd w:fill="111111"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SEVERITY</w:t>
            </w:r>
          </w:p>
        </w:tc>
        <w:tc>
          <w:tcPr>
            <w:tcW w:type="dxa" w:w="1400"/>
            <w:tcBorders>
              <w:top w:val="single" w:color="111111" w:sz="1"/>
              <w:left w:val="single" w:color="111111" w:sz="1"/>
              <w:bottom w:val="single" w:color="111111" w:sz="1"/>
              <w:right w:val="single" w:color="111111" w:sz="1"/>
            </w:tcBorders>
            <w:shd w:fill="111111"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EFFORT</w:t>
            </w:r>
          </w:p>
        </w:tc>
        <w:tc>
          <w:tcPr>
            <w:tcW w:type="dxa" w:w="5200"/>
            <w:tcBorders>
              <w:top w:val="single" w:color="111111" w:sz="1"/>
              <w:left w:val="single" w:color="111111" w:sz="1"/>
              <w:bottom w:val="single" w:color="111111" w:sz="1"/>
              <w:right w:val="single" w:color="111111" w:sz="1"/>
            </w:tcBorders>
            <w:shd w:fill="111111"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ACTION</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1</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30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Remove || 'JonJones1986' fallback from useAuthStore.js and Login.jsx. Add git filter-repo to purge history.</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2</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5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Set PUBLIC_SITE_URL=https://avalonvitality.co in Vercel env. Add startup assertion in API.</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3</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5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Add server-side /api/auth/verify endpoint. Wire RequireAuth to call it on mount before rendering.</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4</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2–4 hrs</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Create api/integrations/stripe/webhook.js. Handle completed + expired events. Release Acuity slots on expired.</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5</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 hr</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Swap order in create-checkout-session.js: Stripe session first, then Acuity. Or add Acuity cancel in catch.</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6</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 hr</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Verify session_id against Stripe in CheckoutSuccess on mount. Redirect to /checkout if invalid.</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7</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Rotate all credentials in .env.local. Move to Vercel env vars only.</w:t>
            </w:r>
          </w:p>
        </w:tc>
      </w:tr>
      <w:tr>
        <w:tc>
          <w:tcPr>
            <w:tcW w:type="dxa" w:w="560"/>
            <w:tcBorders>
              <w:top w:val="single" w:color="E0E0E0" w:sz="1"/>
              <w:left w:val="single" w:color="E0E0E0" w:sz="1"/>
              <w:bottom w:val="single" w:color="E0E0E0" w:sz="1"/>
              <w:right w:val="single" w:color="E0E0E0" w:sz="1"/>
            </w:tcBorders>
            <w:shd w:fill="FEF2F2" w:val="clear"/>
            <w:tcMar>
              <w:top w:type="dxa" w:w="80"/>
              <w:left w:type="dxa" w:w="80"/>
              <w:bottom w:type="dxa" w:w="80"/>
              <w:right w:type="dxa" w:w="80"/>
            </w:tcMar>
          </w:tcPr>
          <w:p>
            <w:pPr>
              <w:jc w:val="center"/>
            </w:pPr>
            <w:r>
              <w:rPr>
                <w:rFonts w:ascii="Calibri" w:cs="Calibri" w:eastAsia="Calibri" w:hAnsi="Calibri"/>
                <w:b/>
                <w:bCs/>
                <w:color w:val="B91C1C"/>
                <w:sz w:val="20"/>
                <w:szCs w:val="20"/>
              </w:rPr>
              <w:t xml:space="preserve">8</w:t>
            </w:r>
          </w:p>
        </w:tc>
        <w:tc>
          <w:tcPr>
            <w:tcW w:type="dxa" w:w="2200"/>
            <w:tcBorders>
              <w:top w:val="single" w:color="E0E0E0" w:sz="1"/>
              <w:left w:val="single" w:color="E0E0E0" w:sz="1"/>
              <w:bottom w:val="single" w:color="E0E0E0" w:sz="1"/>
              <w:right w:val="single" w:color="E0E0E0" w:sz="1"/>
            </w:tcBorders>
            <w:shd w:fill="FEF2F2" w:val="clear"/>
            <w:tcMar>
              <w:top w:type="dxa" w:w="80"/>
              <w:left w:type="dxa" w:w="100"/>
              <w:bottom w:type="dxa" w:w="80"/>
              <w:right w:type="dxa" w:w="100"/>
            </w:tcMar>
          </w:tcPr>
          <w:p>
            <w:r>
              <w:rPr>
                <w:rFonts w:ascii="Calibri" w:cs="Calibri" w:eastAsia="Calibri" w:hAnsi="Calibri"/>
                <w:b/>
                <w:bCs/>
                <w:color w:val="B91C1C"/>
                <w:sz w:val="19"/>
                <w:szCs w:val="19"/>
              </w:rPr>
              <w:t xml:space="preserve">CRITICAL</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30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Move publicBaseUrl to read only from PUBLIC_SITE_URL env var. Throw if absent.</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9</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Delete joseph@avalonvitality.co from adminMockData.js. Replace with generic placeholder.</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10</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2 hrs</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Gate all mock data imports with if (import.meta.env.DEV). Prevent mock data in production bundles.</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11</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15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Set all clinical fields in DEFAULT_CLIENT_PROFILE to [] and null.</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12</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 hr</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Make dispatch gate fail-closed: no real GFE document ID = cannot dispatch. Remove legacyCleared bypass.</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13</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30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Remove or disable non-card payment tiles. Add "Coming soon" label. Never allow selection of unwired methods.</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14</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15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Change useState(prefill.contact) to useState(prefill.contact || {}). Add optional chaining in PaymentStep.</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15</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 hr</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Wire requestPasswordReset to real auth provider or throw visibly. Never return { ok: true } for a no-op.</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16</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Ongoing</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Build data shapes for clinical records now. Add dev warnings when clinical data writes to localStorage.</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17</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30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Replace all empty catch {} blocks with user-facing error states and proper finally cleanup.</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18</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15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Add VITE_ATTIO_CONFIGURED=true env var. Update isAttioConfigured() to read it for browser contexts.</w:t>
            </w:r>
          </w:p>
        </w:tc>
      </w:tr>
      <w:tr>
        <w:tc>
          <w:tcPr>
            <w:tcW w:type="dxa" w:w="560"/>
            <w:tcBorders>
              <w:top w:val="single" w:color="E0E0E0" w:sz="1"/>
              <w:left w:val="single" w:color="E0E0E0" w:sz="1"/>
              <w:bottom w:val="single" w:color="E0E0E0" w:sz="1"/>
              <w:right w:val="single" w:color="E0E0E0" w:sz="1"/>
            </w:tcBorders>
            <w:shd w:fill="FFFBEB" w:val="clear"/>
            <w:tcMar>
              <w:top w:type="dxa" w:w="80"/>
              <w:left w:type="dxa" w:w="80"/>
              <w:bottom w:type="dxa" w:w="80"/>
              <w:right w:type="dxa" w:w="80"/>
            </w:tcMar>
          </w:tcPr>
          <w:p>
            <w:pPr>
              <w:jc w:val="center"/>
            </w:pPr>
            <w:r>
              <w:rPr>
                <w:rFonts w:ascii="Calibri" w:cs="Calibri" w:eastAsia="Calibri" w:hAnsi="Calibri"/>
                <w:b/>
                <w:bCs/>
                <w:color w:val="92400E"/>
                <w:sz w:val="20"/>
                <w:szCs w:val="20"/>
              </w:rPr>
              <w:t xml:space="preserve">19</w:t>
            </w:r>
          </w:p>
        </w:tc>
        <w:tc>
          <w:tcPr>
            <w:tcW w:type="dxa" w:w="2200"/>
            <w:tcBorders>
              <w:top w:val="single" w:color="E0E0E0" w:sz="1"/>
              <w:left w:val="single" w:color="E0E0E0" w:sz="1"/>
              <w:bottom w:val="single" w:color="E0E0E0" w:sz="1"/>
              <w:right w:val="single" w:color="E0E0E0" w:sz="1"/>
            </w:tcBorders>
            <w:shd w:fill="FFFBEB" w:val="clear"/>
            <w:tcMar>
              <w:top w:type="dxa" w:w="80"/>
              <w:left w:type="dxa" w:w="100"/>
              <w:bottom w:type="dxa" w:w="80"/>
              <w:right w:type="dxa" w:w="100"/>
            </w:tcMar>
          </w:tcPr>
          <w:p>
            <w:r>
              <w:rPr>
                <w:rFonts w:ascii="Calibri" w:cs="Calibri" w:eastAsia="Calibri" w:hAnsi="Calibri"/>
                <w:b/>
                <w:bCs/>
                <w:color w:val="92400E"/>
                <w:sz w:val="19"/>
                <w:szCs w:val="19"/>
              </w:rPr>
              <w:t xml:space="preserve">HIGH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30 min</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Move deposit amount to shared env var (DEPOSIT_AMOUNT_CENTS). Read in both API and frontend.</w:t>
            </w:r>
          </w:p>
        </w:tc>
      </w:tr>
      <w:tr>
        <w:tc>
          <w:tcPr>
            <w:tcW w:type="dxa" w:w="560"/>
            <w:tcBorders>
              <w:top w:val="single" w:color="E0E0E0" w:sz="1"/>
              <w:left w:val="single" w:color="E0E0E0" w:sz="1"/>
              <w:bottom w:val="single" w:color="E0E0E0" w:sz="1"/>
              <w:right w:val="single" w:color="E0E0E0" w:sz="1"/>
            </w:tcBorders>
            <w:shd w:fill="F2F2F2" w:val="clear"/>
            <w:tcMar>
              <w:top w:type="dxa" w:w="80"/>
              <w:left w:type="dxa" w:w="80"/>
              <w:bottom w:type="dxa" w:w="80"/>
              <w:right w:type="dxa" w:w="80"/>
            </w:tcMar>
          </w:tcPr>
          <w:p>
            <w:pPr>
              <w:jc w:val="center"/>
            </w:pPr>
            <w:r>
              <w:rPr>
                <w:rFonts w:ascii="Calibri" w:cs="Calibri" w:eastAsia="Calibri" w:hAnsi="Calibri"/>
                <w:b/>
                <w:bCs/>
                <w:color w:val="2C2C2E"/>
                <w:sz w:val="20"/>
                <w:szCs w:val="20"/>
              </w:rPr>
              <w:t xml:space="preserve">20</w:t>
            </w:r>
          </w:p>
        </w:tc>
        <w:tc>
          <w:tcPr>
            <w:tcW w:type="dxa" w:w="2200"/>
            <w:tcBorders>
              <w:top w:val="single" w:color="E0E0E0" w:sz="1"/>
              <w:left w:val="single" w:color="E0E0E0" w:sz="1"/>
              <w:bottom w:val="single" w:color="E0E0E0" w:sz="1"/>
              <w:right w:val="single" w:color="E0E0E0" w:sz="1"/>
            </w:tcBorders>
            <w:shd w:fill="F2F2F2" w:val="clear"/>
            <w:tcMar>
              <w:top w:type="dxa" w:w="80"/>
              <w:left w:type="dxa" w:w="100"/>
              <w:bottom w:type="dxa" w:w="80"/>
              <w:right w:type="dxa" w:w="100"/>
            </w:tcMar>
          </w:tcPr>
          <w:p>
            <w:r>
              <w:rPr>
                <w:rFonts w:ascii="Calibri" w:cs="Calibri" w:eastAsia="Calibri" w:hAnsi="Calibri"/>
                <w:b/>
                <w:bCs/>
                <w:color w:val="2C2C2E"/>
                <w:sz w:val="19"/>
                <w:szCs w:val="19"/>
              </w:rPr>
              <w:t xml:space="preserve">MEDIUM</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r>
              <w:rPr>
                <w:rFonts w:ascii="Calibri" w:cs="Calibri" w:eastAsia="Calibri" w:hAnsi="Calibri"/>
                <w:color w:val="555555"/>
                <w:sz w:val="19"/>
                <w:szCs w:val="19"/>
              </w:rPr>
              <w:t xml:space="preserve">2 hrs</w:t>
            </w:r>
          </w:p>
        </w:tc>
        <w:tc>
          <w:tcPr>
            <w:tcW w:type="dxa" w:w="5200"/>
            <w:tcBorders>
              <w:top w:val="single" w:color="E0E0E0" w:sz="1"/>
              <w:left w:val="single" w:color="E0E0E0" w:sz="1"/>
              <w:bottom w:val="single" w:color="E0E0E0" w:sz="1"/>
              <w:right w:val="single" w:color="E0E0E0" w:sz="1"/>
            </w:tcBorders>
            <w:shd w:fill="FFFFFF" w:val="clear"/>
            <w:tcMar>
              <w:top w:type="dxa" w:w="80"/>
              <w:left w:type="dxa" w:w="140"/>
              <w:bottom w:type="dxa" w:w="80"/>
              <w:right w:type="dxa" w:w="140"/>
            </w:tcMar>
          </w:tcPr>
          <w:p>
            <w:r>
              <w:rPr>
                <w:rFonts w:ascii="Calibri" w:cs="Calibri" w:eastAsia="Calibri" w:hAnsi="Calibri"/>
                <w:color w:val="2C2C2E"/>
                <w:sz w:val="19"/>
                <w:szCs w:val="19"/>
              </w:rPr>
              <w:t xml:space="preserve">Run codebase-wide pass to add key props to all .map() returns. Add eslint rule to enforce going forward.</w:t>
            </w:r>
          </w:p>
        </w:tc>
      </w:tr>
    </w:tbl>
    <w:p>
      <w:pPr>
        <w:spacing w:before="200"/>
      </w:pPr>
    </w:p>
    <w:p>
      <w:pPr>
        <w:pBdr>
          <w:bottom w:val="single" w:color="E0E0E0" w:sz="2" w:space="1"/>
        </w:pBdr>
        <w:spacing w:after="160" w:before="160"/>
      </w:pPr>
    </w:p>
    <w:p>
      <w:pPr>
        <w:spacing w:after="40" w:before="120"/>
        <w:jc w:val="center"/>
      </w:pPr>
      <w:r>
        <w:rPr>
          <w:rFonts w:ascii="Calibri" w:cs="Calibri" w:eastAsia="Calibri" w:hAnsi="Calibri"/>
          <w:i/>
          <w:iCs/>
          <w:color w:val="AAAAAA"/>
          <w:sz w:val="18"/>
          <w:szCs w:val="18"/>
        </w:rPr>
        <w:t xml:space="preserve">AVALON VITALITY — CONFIDENTIAL INTERNAL AUDIT</w:t>
      </w:r>
    </w:p>
    <w:p>
      <w:pPr>
        <w:spacing w:after="0" w:before="0"/>
        <w:jc w:val="center"/>
      </w:pPr>
      <w:r>
        <w:rPr>
          <w:rFonts w:ascii="Calibri" w:cs="Calibri" w:eastAsia="Calibri" w:hAnsi="Calibri"/>
          <w:b/>
          <w:bCs/>
          <w:color w:val="111111"/>
          <w:sz w:val="24"/>
          <w:szCs w:val="24"/>
        </w:rPr>
        <w:t xml:space="preserve">271 / 1,000  →  fix the 20  →  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right"/>
    </w:pPr>
    <w:r>
      <w:rPr>
        <w:rFonts w:ascii="Calibri" w:cs="Calibri" w:eastAsia="Calibri" w:hAnsi="Calibri"/>
        <w:color w:val="AAAAAA"/>
        <w:sz w:val="18"/>
        <w:szCs w:val="18"/>
      </w:rPr>
      <w:t xml:space="preserve">Page </w:t>
    </w:r>
    <w:r>
      <w:rPr>
        <w:rFonts w:ascii="Calibri" w:cs="Calibri" w:eastAsia="Calibri" w:hAnsi="Calibri"/>
        <w:color w:val="AAAAAA"/>
        <w:sz w:val="18"/>
        <w:szCs w:val="18"/>
      </w:rPr>
      <w:fldChar w:fldCharType="begin"/>
      <w:instrText xml:space="preserve">PAGE</w:instrText>
      <w:fldChar w:fldCharType="separate"/>
      <w:fldChar w:fldCharType="end"/>
    </w:r>
    <w:r>
      <w:rPr>
        <w:rFonts w:ascii="Calibri" w:cs="Calibri" w:eastAsia="Calibri" w:hAnsi="Calibri"/>
        <w:color w:val="AAAAAA"/>
        <w:sz w:val="18"/>
        <w:szCs w:val="18"/>
      </w:rPr>
      <w:t xml:space="preserve"> / </w:t>
    </w:r>
    <w:r>
      <w:rPr>
        <w:rFonts w:ascii="Calibri" w:cs="Calibri" w:eastAsia="Calibri" w:hAnsi="Calibri"/>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rFonts w:ascii="Calibri" w:cs="Calibri" w:eastAsia="Calibri" w:hAnsi="Calibri"/>
        <w:b/>
        <w:bCs/>
        <w:color w:val="B91C1C"/>
        <w:sz w:val="18"/>
        <w:szCs w:val="18"/>
      </w:rPr>
      <w:t xml:space="preserve">AVALON VITALITY</w:t>
    </w:r>
    <w:r>
      <w:rPr>
        <w:rFonts w:ascii="Calibri" w:cs="Calibri" w:eastAsia="Calibri" w:hAnsi="Calibri"/>
        <w:color w:val="AAAAAA"/>
        <w:sz w:val="18"/>
        <w:szCs w:val="18"/>
      </w:rPr>
      <w:t xml:space="preserve">   |   Top 20 Pre-API Critical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11111"/>
      <w:sz w:val="42"/>
      <w:szCs w:val="42"/>
    </w:rPr>
  </w:style>
  <w:style w:type="paragraph" w:styleId="Heading2">
    <w:name w:val="Heading 2"/>
    <w:basedOn w:val="Normal"/>
    <w:next w:val="Normal"/>
    <w:qFormat/>
    <w:pPr>
      <w:spacing w:after="100" w:before="300"/>
      <w:outlineLvl w:val="1"/>
    </w:pPr>
    <w:rPr>
      <w:rFonts w:ascii="Calibri" w:cs="Calibri" w:eastAsia="Calibri" w:hAnsi="Calibri"/>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2026-05-25T22:29:24.654Z</dcterms:created>
  <dcterms:modified xsi:type="dcterms:W3CDTF">2026-05-25T22:29:24.657Z</dcterms:modified>
</cp:coreProperties>
</file>

<file path=docProps/custom.xml><?xml version="1.0" encoding="utf-8"?>
<Properties xmlns="http://schemas.openxmlformats.org/officeDocument/2006/custom-properties" xmlns:vt="http://schemas.openxmlformats.org/officeDocument/2006/docPropsVTypes"/>
</file>