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743" w:rsidRDefault="00966743" w:rsidP="00966743">
      <w:pPr>
        <w:pStyle w:val="MdHeading2"/>
        <w:jc w:val="center"/>
      </w:pPr>
      <w:bookmarkStart w:id="0" w:name="_GoBack"/>
      <w:bookmarkEnd w:id="0"/>
      <w:r>
        <w:t>Week 2 — Visualization and insight communication</w:t>
      </w:r>
    </w:p>
    <w:p w:rsidR="00966743" w:rsidRDefault="00966743" w:rsidP="00966743">
      <w:pPr>
        <w:pStyle w:val="MdHeading3"/>
      </w:pPr>
      <w:r>
        <w:t>1. Dashboard design answer</w:t>
      </w:r>
    </w:p>
    <w:p w:rsidR="00966743" w:rsidRDefault="00966743" w:rsidP="00966743">
      <w:pPr>
        <w:pStyle w:val="MdParagraph"/>
      </w:pPr>
      <w:r>
        <w:t>The dashboard should contain four sections: KPI cards for spend, revenue, blended ROI, and leads; a ranked bar chart for the top five campaigns by ROI; a line chart for monthly revenue; and a channel-performance table. Add filters for month, channel, and campaign. The workbook supplied with this answer contains the cleaned data and summary tabs needed to reproduce the dashboard.</w:t>
      </w:r>
    </w:p>
    <w:p w:rsidR="00966743" w:rsidRDefault="00966743" w:rsidP="00966743">
      <w:pPr>
        <w:pStyle w:val="MdSpace"/>
        <w:spacing w:after="60"/>
      </w:pPr>
    </w:p>
    <w:p w:rsidR="00966743" w:rsidRDefault="00966743" w:rsidP="00966743">
      <w:pPr>
        <w:pStyle w:val="MdHeading3"/>
      </w:pPr>
      <w:r>
        <w:t>2. Five KPI definitions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940"/>
        <w:gridCol w:w="4007"/>
        <w:gridCol w:w="3413"/>
      </w:tblGrid>
      <w:tr w:rsidR="00966743" w:rsidTr="00B121F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966743" w:rsidRDefault="00966743" w:rsidP="00B121FB">
            <w:pPr>
              <w:pStyle w:val="MdTableHeader"/>
            </w:pPr>
            <w:r>
              <w:t>KPI</w:t>
            </w:r>
          </w:p>
        </w:tc>
        <w:tc>
          <w:tcPr>
            <w:tcW w:w="0" w:type="auto"/>
            <w:tcMar>
              <w:top w:w="100" w:type="dxa"/>
              <w:left w:w="120" w:type="dxa"/>
              <w:bottom w:w="100" w:type="dxa"/>
              <w:right w:w="120" w:type="dxa"/>
            </w:tcMar>
            <w:vAlign w:val="center"/>
          </w:tcPr>
          <w:p w:rsidR="00966743" w:rsidRDefault="00966743" w:rsidP="00B121FB">
            <w:pPr>
              <w:pStyle w:val="MdTableHeader"/>
            </w:pPr>
            <w:r>
              <w:t>Formula</w:t>
            </w:r>
          </w:p>
        </w:tc>
        <w:tc>
          <w:tcPr>
            <w:tcW w:w="0" w:type="auto"/>
            <w:tcMar>
              <w:top w:w="100" w:type="dxa"/>
              <w:left w:w="120" w:type="dxa"/>
              <w:bottom w:w="100" w:type="dxa"/>
              <w:right w:w="120" w:type="dxa"/>
            </w:tcMar>
            <w:vAlign w:val="center"/>
          </w:tcPr>
          <w:p w:rsidR="00966743" w:rsidRDefault="00966743" w:rsidP="00B121FB">
            <w:pPr>
              <w:pStyle w:val="MdTableHeader"/>
            </w:pPr>
            <w:r>
              <w:t>Why it matters</w:t>
            </w:r>
          </w:p>
        </w:tc>
      </w:tr>
      <w:tr w:rsidR="00966743"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966743" w:rsidRDefault="00966743" w:rsidP="00B121FB">
            <w:pPr>
              <w:pStyle w:val="MdTableCell"/>
            </w:pPr>
            <w:r>
              <w:t>Blended ROI</w:t>
            </w:r>
          </w:p>
        </w:tc>
        <w:tc>
          <w:tcPr>
            <w:tcW w:w="0" w:type="auto"/>
            <w:tcMar>
              <w:top w:w="80" w:type="dxa"/>
              <w:left w:w="120" w:type="dxa"/>
              <w:bottom w:w="80" w:type="dxa"/>
              <w:right w:w="120" w:type="dxa"/>
            </w:tcMar>
            <w:vAlign w:val="center"/>
          </w:tcPr>
          <w:p w:rsidR="00966743" w:rsidRDefault="00966743" w:rsidP="00B121FB">
            <w:pPr>
              <w:pStyle w:val="MdTableCell"/>
            </w:pPr>
            <w:r>
              <w:rPr>
                <w:u w:val="single"/>
              </w:rPr>
              <w:t>(Revenue − Ad Spend) / Ad Spend</w:t>
            </w:r>
          </w:p>
        </w:tc>
        <w:tc>
          <w:tcPr>
            <w:tcW w:w="0" w:type="auto"/>
            <w:tcMar>
              <w:top w:w="80" w:type="dxa"/>
              <w:left w:w="120" w:type="dxa"/>
              <w:bottom w:w="80" w:type="dxa"/>
              <w:right w:w="120" w:type="dxa"/>
            </w:tcMar>
            <w:vAlign w:val="center"/>
          </w:tcPr>
          <w:p w:rsidR="00966743" w:rsidRDefault="00966743" w:rsidP="00B121FB">
            <w:pPr>
              <w:pStyle w:val="MdTableCell"/>
            </w:pPr>
            <w:r>
              <w:t>Measures return on marketing investment</w:t>
            </w:r>
          </w:p>
        </w:tc>
      </w:tr>
      <w:tr w:rsidR="00966743"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966743" w:rsidRDefault="00966743" w:rsidP="00B121FB">
            <w:pPr>
              <w:pStyle w:val="MdTableCell"/>
            </w:pPr>
            <w:r>
              <w:t>CTR</w:t>
            </w:r>
          </w:p>
        </w:tc>
        <w:tc>
          <w:tcPr>
            <w:tcW w:w="0" w:type="auto"/>
            <w:tcMar>
              <w:top w:w="80" w:type="dxa"/>
              <w:left w:w="120" w:type="dxa"/>
              <w:bottom w:w="80" w:type="dxa"/>
              <w:right w:w="120" w:type="dxa"/>
            </w:tcMar>
            <w:vAlign w:val="center"/>
          </w:tcPr>
          <w:p w:rsidR="00966743" w:rsidRDefault="00966743" w:rsidP="00B121FB">
            <w:pPr>
              <w:pStyle w:val="MdTableCell"/>
            </w:pPr>
            <w:r>
              <w:rPr>
                <w:u w:val="single"/>
              </w:rPr>
              <w:t>Clicks / Impressions</w:t>
            </w:r>
          </w:p>
        </w:tc>
        <w:tc>
          <w:tcPr>
            <w:tcW w:w="0" w:type="auto"/>
            <w:tcMar>
              <w:top w:w="80" w:type="dxa"/>
              <w:left w:w="120" w:type="dxa"/>
              <w:bottom w:w="80" w:type="dxa"/>
              <w:right w:w="120" w:type="dxa"/>
            </w:tcMar>
            <w:vAlign w:val="center"/>
          </w:tcPr>
          <w:p w:rsidR="00966743" w:rsidRDefault="00966743" w:rsidP="00B121FB">
            <w:pPr>
              <w:pStyle w:val="MdTableCell"/>
            </w:pPr>
            <w:r>
              <w:t>Measures ability to generate engagement</w:t>
            </w:r>
          </w:p>
        </w:tc>
      </w:tr>
      <w:tr w:rsidR="00966743"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966743" w:rsidRDefault="00966743" w:rsidP="00B121FB">
            <w:pPr>
              <w:pStyle w:val="MdTableCell"/>
            </w:pPr>
            <w:r>
              <w:t>Conversion rate</w:t>
            </w:r>
          </w:p>
        </w:tc>
        <w:tc>
          <w:tcPr>
            <w:tcW w:w="0" w:type="auto"/>
            <w:tcMar>
              <w:top w:w="80" w:type="dxa"/>
              <w:left w:w="120" w:type="dxa"/>
              <w:bottom w:w="80" w:type="dxa"/>
              <w:right w:w="120" w:type="dxa"/>
            </w:tcMar>
            <w:vAlign w:val="center"/>
          </w:tcPr>
          <w:p w:rsidR="00966743" w:rsidRDefault="00966743" w:rsidP="00B121FB">
            <w:pPr>
              <w:pStyle w:val="MdTableCell"/>
            </w:pPr>
            <w:r>
              <w:rPr>
                <w:u w:val="single"/>
              </w:rPr>
              <w:t>Conversions / Clicks</w:t>
            </w:r>
          </w:p>
        </w:tc>
        <w:tc>
          <w:tcPr>
            <w:tcW w:w="0" w:type="auto"/>
            <w:tcMar>
              <w:top w:w="80" w:type="dxa"/>
              <w:left w:w="120" w:type="dxa"/>
              <w:bottom w:w="80" w:type="dxa"/>
              <w:right w:w="120" w:type="dxa"/>
            </w:tcMar>
            <w:vAlign w:val="center"/>
          </w:tcPr>
          <w:p w:rsidR="00966743" w:rsidRDefault="00966743" w:rsidP="00B121FB">
            <w:pPr>
              <w:pStyle w:val="MdTableCell"/>
            </w:pPr>
            <w:r>
              <w:t>Measures traffic-to-action efficiency</w:t>
            </w:r>
          </w:p>
        </w:tc>
      </w:tr>
      <w:tr w:rsidR="00966743" w:rsidTr="00B121F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966743" w:rsidRDefault="00966743" w:rsidP="00B121FB">
            <w:pPr>
              <w:pStyle w:val="MdTableCell"/>
            </w:pPr>
            <w:r>
              <w:t>CPL</w:t>
            </w:r>
          </w:p>
        </w:tc>
        <w:tc>
          <w:tcPr>
            <w:tcW w:w="0" w:type="auto"/>
            <w:tcMar>
              <w:top w:w="80" w:type="dxa"/>
              <w:left w:w="120" w:type="dxa"/>
              <w:bottom w:w="80" w:type="dxa"/>
              <w:right w:w="120" w:type="dxa"/>
            </w:tcMar>
            <w:vAlign w:val="center"/>
          </w:tcPr>
          <w:p w:rsidR="00966743" w:rsidRDefault="00966743" w:rsidP="00B121FB">
            <w:pPr>
              <w:pStyle w:val="MdTableCell"/>
            </w:pPr>
            <w:r>
              <w:rPr>
                <w:u w:val="single"/>
              </w:rPr>
              <w:t>Ad Spend / Leads</w:t>
            </w:r>
          </w:p>
        </w:tc>
        <w:tc>
          <w:tcPr>
            <w:tcW w:w="0" w:type="auto"/>
            <w:tcMar>
              <w:top w:w="80" w:type="dxa"/>
              <w:left w:w="120" w:type="dxa"/>
              <w:bottom w:w="80" w:type="dxa"/>
              <w:right w:w="120" w:type="dxa"/>
            </w:tcMar>
            <w:vAlign w:val="center"/>
          </w:tcPr>
          <w:p w:rsidR="00966743" w:rsidRDefault="00966743" w:rsidP="00B121FB">
            <w:pPr>
              <w:pStyle w:val="MdTableCell"/>
            </w:pPr>
            <w:r>
              <w:t>Measures lead acquisition cost</w:t>
            </w:r>
          </w:p>
        </w:tc>
      </w:tr>
      <w:tr w:rsidR="00966743" w:rsidTr="00B121F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966743" w:rsidRDefault="00966743" w:rsidP="00B121FB">
            <w:pPr>
              <w:pStyle w:val="MdTableCell"/>
            </w:pPr>
            <w:proofErr w:type="spellStart"/>
            <w:r>
              <w:t>MoM</w:t>
            </w:r>
            <w:proofErr w:type="spellEnd"/>
            <w:r>
              <w:t xml:space="preserve"> revenue growth</w:t>
            </w:r>
          </w:p>
        </w:tc>
        <w:tc>
          <w:tcPr>
            <w:tcW w:w="0" w:type="auto"/>
            <w:tcBorders>
              <w:bottom w:val="single" w:sz="4" w:space="0" w:color="E1E4E8"/>
            </w:tcBorders>
            <w:tcMar>
              <w:top w:w="80" w:type="dxa"/>
              <w:left w:w="120" w:type="dxa"/>
              <w:bottom w:w="80" w:type="dxa"/>
              <w:right w:w="120" w:type="dxa"/>
            </w:tcMar>
            <w:vAlign w:val="center"/>
          </w:tcPr>
          <w:p w:rsidR="00966743" w:rsidRDefault="00966743" w:rsidP="00B121FB">
            <w:pPr>
              <w:pStyle w:val="MdTableCell"/>
            </w:pPr>
            <w:r>
              <w:rPr>
                <w:u w:val="single"/>
              </w:rPr>
              <w:t>Current month revenue / Prior month revenue − 1</w:t>
            </w:r>
          </w:p>
        </w:tc>
        <w:tc>
          <w:tcPr>
            <w:tcW w:w="0" w:type="auto"/>
            <w:tcBorders>
              <w:bottom w:val="single" w:sz="4" w:space="0" w:color="E1E4E8"/>
            </w:tcBorders>
            <w:tcMar>
              <w:top w:w="80" w:type="dxa"/>
              <w:left w:w="120" w:type="dxa"/>
              <w:bottom w:w="80" w:type="dxa"/>
              <w:right w:w="120" w:type="dxa"/>
            </w:tcMar>
            <w:vAlign w:val="center"/>
          </w:tcPr>
          <w:p w:rsidR="00966743" w:rsidRDefault="00966743" w:rsidP="00B121FB">
            <w:pPr>
              <w:pStyle w:val="MdTableCell"/>
            </w:pPr>
            <w:r>
              <w:t>Tracks commercial momentum</w:t>
            </w:r>
          </w:p>
        </w:tc>
      </w:tr>
    </w:tbl>
    <w:p w:rsidR="00966743" w:rsidRDefault="00966743" w:rsidP="00966743">
      <w:pPr>
        <w:pStyle w:val="MdHeading3"/>
      </w:pPr>
      <w:r>
        <w:t>3. Data storytelling report</w:t>
      </w:r>
    </w:p>
    <w:p w:rsidR="00966743" w:rsidRDefault="00966743" w:rsidP="00966743">
      <w:pPr>
        <w:pStyle w:val="MdParagraph"/>
      </w:pPr>
      <w:r>
        <w:t xml:space="preserve">The dashboard shows a clear concentration of performance in Email. Email combines strong revenue generation with efficient lead acquisition, particularly through </w:t>
      </w:r>
      <w:r>
        <w:rPr>
          <w:rStyle w:val="MdStrong"/>
          <w:b w:val="0"/>
          <w:bCs w:val="0"/>
        </w:rPr>
        <w:t>VIP Early Access</w:t>
      </w:r>
      <w:r>
        <w:t xml:space="preserve"> and </w:t>
      </w:r>
      <w:r>
        <w:rPr>
          <w:rStyle w:val="MdStrong"/>
          <w:b w:val="0"/>
          <w:bCs w:val="0"/>
        </w:rPr>
        <w:t>Loyalty Win-Back</w:t>
      </w:r>
      <w:r>
        <w:t>. Ads produce scale and several campaigns rank well, but the channel’s average ROI is below Email’s, so additional spend should be released only to campaigns that meet a minimum ROI threshold. Social has the weakest blended performance in this simulation and should be treated as a test-and-learn channel rather than the main growth engine.</w:t>
      </w:r>
    </w:p>
    <w:p w:rsidR="00966743" w:rsidRDefault="00966743" w:rsidP="00966743">
      <w:pPr>
        <w:pStyle w:val="MdSpace"/>
        <w:spacing w:after="60"/>
      </w:pPr>
    </w:p>
    <w:p w:rsidR="00966743" w:rsidRDefault="00966743" w:rsidP="00966743">
      <w:pPr>
        <w:pStyle w:val="MdParagraph"/>
      </w:pPr>
      <w:r>
        <w:t>Revenue rises each month, reaching its highest level in September. This improvement is consistent with stronger email offers and increased campaign activity, but the pattern should be validated using a longer history before treating it as seasonality. For next quarter, Tech Savvy Solutions should protect the high-performing email base, use retargeting selectively, and test social creative with explicit stop-loss criteria.</w:t>
      </w:r>
    </w:p>
    <w:p w:rsidR="00966743" w:rsidRDefault="00966743" w:rsidP="00966743">
      <w:pPr>
        <w:pStyle w:val="MdSpace"/>
        <w:spacing w:after="60"/>
      </w:pPr>
    </w:p>
    <w:p w:rsidR="00966743" w:rsidRDefault="00966743" w:rsidP="00966743">
      <w:pPr>
        <w:pStyle w:val="MdHeading3"/>
      </w:pPr>
      <w:r>
        <w:t>4. Automation answer</w:t>
      </w:r>
    </w:p>
    <w:p w:rsidR="00966743" w:rsidRDefault="00966743" w:rsidP="00966743">
      <w:pPr>
        <w:pStyle w:val="MdParagraph"/>
      </w:pPr>
      <w:r>
        <w:t xml:space="preserve">In Excel or Google Sheets, convert the cleaned range into a table named </w:t>
      </w:r>
      <w:proofErr w:type="spellStart"/>
      <w:r>
        <w:rPr>
          <w:u w:val="single"/>
        </w:rPr>
        <w:t>CampaignData</w:t>
      </w:r>
      <w:proofErr w:type="spellEnd"/>
      <w:r>
        <w:t xml:space="preserve">. Use </w:t>
      </w:r>
      <w:r>
        <w:rPr>
          <w:u w:val="single"/>
        </w:rPr>
        <w:t>SUMIFS</w:t>
      </w:r>
      <w:r>
        <w:t xml:space="preserve"> for filtered spend and revenue, </w:t>
      </w:r>
      <w:r>
        <w:rPr>
          <w:u w:val="single"/>
        </w:rPr>
        <w:t>AVERAGEIFS</w:t>
      </w:r>
      <w:r>
        <w:t xml:space="preserve"> for average ROI, and a pivot table grouped by Month and Channel for recurring reporting. Example formulas are:</w:t>
      </w:r>
    </w:p>
    <w:p w:rsidR="00966743" w:rsidRDefault="00966743" w:rsidP="00966743">
      <w:pPr>
        <w:pStyle w:val="MdSpace"/>
        <w:spacing w:after="60"/>
      </w:pPr>
    </w:p>
    <w:p w:rsidR="00966743" w:rsidRDefault="00966743" w:rsidP="00966743">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w:t>
      </w:r>
      <w:proofErr w:type="gramStart"/>
      <w:r>
        <w:rPr>
          <w:rFonts w:ascii="Cascadia Code, Consolas, Courie" w:eastAsia="Cascadia Code, Consolas, Courie" w:hAnsi="Cascadia Code, Consolas, Courie" w:cs="Cascadia Code, Consolas, Courie"/>
          <w:color w:val="000000"/>
          <w:sz w:val="20"/>
          <w:szCs w:val="20"/>
        </w:rPr>
        <w:t>SUMIFS(</w:t>
      </w:r>
      <w:proofErr w:type="spellStart"/>
      <w:proofErr w:type="gramEnd"/>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[Revenue],</w:t>
      </w:r>
      <w:proofErr w:type="spellStart"/>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[Channel],A2)</w:t>
      </w:r>
    </w:p>
    <w:p w:rsidR="00966743" w:rsidRDefault="00966743" w:rsidP="00966743">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w:t>
      </w:r>
      <w:proofErr w:type="gramStart"/>
      <w:r>
        <w:rPr>
          <w:rFonts w:ascii="Cascadia Code, Consolas, Courie" w:eastAsia="Cascadia Code, Consolas, Courie" w:hAnsi="Cascadia Code, Consolas, Courie" w:cs="Cascadia Code, Consolas, Courie"/>
          <w:color w:val="000000"/>
          <w:sz w:val="20"/>
          <w:szCs w:val="20"/>
        </w:rPr>
        <w:t>SUMIFS(</w:t>
      </w:r>
      <w:proofErr w:type="spellStart"/>
      <w:proofErr w:type="gramEnd"/>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w:t>
      </w:r>
      <w:proofErr w:type="spellStart"/>
      <w:r>
        <w:rPr>
          <w:rFonts w:ascii="Cascadia Code, Consolas, Courie" w:eastAsia="Cascadia Code, Consolas, Courie" w:hAnsi="Cascadia Code, Consolas, Courie" w:cs="Cascadia Code, Consolas, Courie"/>
          <w:color w:val="000000"/>
          <w:sz w:val="20"/>
          <w:szCs w:val="20"/>
        </w:rPr>
        <w:t>Ad_Spend</w:t>
      </w:r>
      <w:proofErr w:type="spellEnd"/>
      <w:r>
        <w:rPr>
          <w:rFonts w:ascii="Cascadia Code, Consolas, Courie" w:eastAsia="Cascadia Code, Consolas, Courie" w:hAnsi="Cascadia Code, Consolas, Courie" w:cs="Cascadia Code, Consolas, Courie"/>
          <w:color w:val="000000"/>
          <w:sz w:val="20"/>
          <w:szCs w:val="20"/>
        </w:rPr>
        <w:t>],</w:t>
      </w:r>
      <w:proofErr w:type="spellStart"/>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[Channel],A2)</w:t>
      </w:r>
    </w:p>
    <w:p w:rsidR="00966743" w:rsidRDefault="00966743" w:rsidP="00966743">
      <w:pPr>
        <w:pStyle w:val="MdCode"/>
        <w:pBdr>
          <w:left w:val="single" w:sz="1" w:space="8" w:color="E1E4E8"/>
          <w:right w:val="single" w:sz="1" w:space="8" w:color="E1E4E8"/>
        </w:pBdr>
        <w:shd w:val="clear" w:color="auto" w:fill="F6F8FA"/>
        <w:spacing w:before="0" w:after="0" w:line="276" w:lineRule="auto"/>
        <w:ind w:left="360"/>
      </w:pPr>
      <w:proofErr w:type="gramStart"/>
      <w:r>
        <w:rPr>
          <w:rFonts w:ascii="Cascadia Code, Consolas, Courie" w:eastAsia="Cascadia Code, Consolas, Courie" w:hAnsi="Cascadia Code, Consolas, Courie" w:cs="Cascadia Code, Consolas, Courie"/>
          <w:color w:val="000000"/>
          <w:sz w:val="20"/>
          <w:szCs w:val="20"/>
        </w:rPr>
        <w:t>=(</w:t>
      </w:r>
      <w:proofErr w:type="gramEnd"/>
      <w:r>
        <w:rPr>
          <w:rFonts w:ascii="Cascadia Code, Consolas, Courie" w:eastAsia="Cascadia Code, Consolas, Courie" w:hAnsi="Cascadia Code, Consolas, Courie" w:cs="Cascadia Code, Consolas, Courie"/>
          <w:color w:val="000000"/>
          <w:sz w:val="20"/>
          <w:szCs w:val="20"/>
        </w:rPr>
        <w:t>B2-C2)/C2</w:t>
      </w:r>
    </w:p>
    <w:p w:rsidR="00966743" w:rsidRDefault="00966743" w:rsidP="00966743">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w:t>
      </w:r>
      <w:proofErr w:type="gramStart"/>
      <w:r>
        <w:rPr>
          <w:rFonts w:ascii="Cascadia Code, Consolas, Courie" w:eastAsia="Cascadia Code, Consolas, Courie" w:hAnsi="Cascadia Code, Consolas, Courie" w:cs="Cascadia Code, Consolas, Courie"/>
          <w:color w:val="000000"/>
          <w:sz w:val="20"/>
          <w:szCs w:val="20"/>
        </w:rPr>
        <w:t>AVERAGEIFS(</w:t>
      </w:r>
      <w:proofErr w:type="spellStart"/>
      <w:proofErr w:type="gramEnd"/>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[ROI],</w:t>
      </w:r>
      <w:proofErr w:type="spellStart"/>
      <w:r>
        <w:rPr>
          <w:rFonts w:ascii="Cascadia Code, Consolas, Courie" w:eastAsia="Cascadia Code, Consolas, Courie" w:hAnsi="Cascadia Code, Consolas, Courie" w:cs="Cascadia Code, Consolas, Courie"/>
          <w:color w:val="000000"/>
          <w:sz w:val="20"/>
          <w:szCs w:val="20"/>
        </w:rPr>
        <w:t>CampaignData</w:t>
      </w:r>
      <w:proofErr w:type="spellEnd"/>
      <w:r>
        <w:rPr>
          <w:rFonts w:ascii="Cascadia Code, Consolas, Courie" w:eastAsia="Cascadia Code, Consolas, Courie" w:hAnsi="Cascadia Code, Consolas, Courie" w:cs="Cascadia Code, Consolas, Courie"/>
          <w:color w:val="000000"/>
          <w:sz w:val="20"/>
          <w:szCs w:val="20"/>
        </w:rPr>
        <w:t>[Channel],A2)</w:t>
      </w:r>
    </w:p>
    <w:p w:rsidR="00966743" w:rsidRDefault="00966743" w:rsidP="00966743">
      <w:pPr>
        <w:pStyle w:val="MdSpace"/>
        <w:spacing w:after="60"/>
      </w:pPr>
    </w:p>
    <w:p w:rsidR="00966743" w:rsidRDefault="00966743" w:rsidP="00966743">
      <w:pPr>
        <w:pStyle w:val="MdParagraph"/>
      </w:pPr>
      <w:r>
        <w:t xml:space="preserve">Refreshing the source table and selecting </w:t>
      </w:r>
      <w:r>
        <w:rPr>
          <w:rStyle w:val="MdStrong"/>
          <w:b w:val="0"/>
          <w:bCs w:val="0"/>
        </w:rPr>
        <w:t>Refresh All</w:t>
      </w:r>
      <w:r>
        <w:t xml:space="preserve"> updates the dashboard without rebuilding the calculations manually.</w:t>
      </w:r>
    </w:p>
    <w:p w:rsidR="00966743" w:rsidRDefault="00966743" w:rsidP="00966743">
      <w:pPr>
        <w:pStyle w:val="MdSpace"/>
        <w:spacing w:after="60"/>
      </w:pPr>
    </w:p>
    <w:p w:rsidR="00966743" w:rsidRDefault="00966743" w:rsidP="00966743">
      <w:pPr>
        <w:pStyle w:val="MdHeading3"/>
      </w:pPr>
      <w:r>
        <w:t>5. Leadership summary</w:t>
      </w:r>
    </w:p>
    <w:p w:rsidR="00966743" w:rsidRDefault="00966743" w:rsidP="00966743">
      <w:pPr>
        <w:pStyle w:val="MdParagraph"/>
      </w:pPr>
      <w:r>
        <w:t>Campaign performance is improving, with revenue increasing every month and Email delivering the strongest combination of ROI and lead efficiency. Leadership should prioritize scalable email programs, maintain disciplined investment in proven retargeting campaigns, and use controlled experiments to improve Social before increasing its budget. A refreshable table-and-pivot dashboard will make these decisions faster and more consistent.</w:t>
      </w:r>
    </w:p>
    <w:p w:rsidR="00D5579B" w:rsidRDefault="00D5579B"/>
    <w:sectPr w:rsidR="00D557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743"/>
    <w:rsid w:val="00966743"/>
    <w:rsid w:val="00D5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2B8B31-3EEF-490D-82CC-7CB7425A4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74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Space">
    <w:name w:val="MdSpace"/>
    <w:qFormat/>
    <w:rsid w:val="00966743"/>
    <w:pPr>
      <w:spacing w:after="0" w:line="240" w:lineRule="auto"/>
    </w:pPr>
    <w:rPr>
      <w:rFonts w:ascii="Times New Roman" w:eastAsia="Times New Roman" w:hAnsi="Times New Roman" w:cs="Times New Roman"/>
      <w:sz w:val="12"/>
      <w:szCs w:val="12"/>
    </w:rPr>
  </w:style>
  <w:style w:type="paragraph" w:customStyle="1" w:styleId="MdCode">
    <w:name w:val="MdCode"/>
    <w:qFormat/>
    <w:rsid w:val="00966743"/>
    <w:pPr>
      <w:pBdr>
        <w:top w:val="single" w:sz="1" w:space="8" w:color="A5A5A5"/>
        <w:left w:val="single" w:sz="1" w:space="8" w:color="A5A5A5"/>
        <w:bottom w:val="single" w:sz="1" w:space="8" w:color="A5A5A5"/>
        <w:right w:val="single" w:sz="1" w:space="8" w:color="A5A5A5"/>
      </w:pBdr>
      <w:spacing w:before="200" w:after="200" w:line="240" w:lineRule="auto"/>
    </w:pPr>
    <w:rPr>
      <w:rFonts w:ascii="Courier New" w:eastAsia="Courier New" w:hAnsi="Courier New" w:cs="Courier New"/>
      <w:color w:val="70AD47"/>
    </w:rPr>
  </w:style>
  <w:style w:type="paragraph" w:customStyle="1" w:styleId="MdParagraph">
    <w:name w:val="MdParagraph"/>
    <w:qFormat/>
    <w:rsid w:val="00966743"/>
    <w:pPr>
      <w:spacing w:before="120" w:after="120" w:line="240" w:lineRule="auto"/>
    </w:pPr>
    <w:rPr>
      <w:rFonts w:ascii="Times New Roman" w:eastAsia="Times New Roman" w:hAnsi="Times New Roman" w:cs="Times New Roman"/>
      <w:sz w:val="24"/>
      <w:szCs w:val="24"/>
    </w:rPr>
  </w:style>
  <w:style w:type="paragraph" w:customStyle="1" w:styleId="MdTableHeader">
    <w:name w:val="MdTableHeader"/>
    <w:qFormat/>
    <w:rsid w:val="00966743"/>
    <w:pPr>
      <w:spacing w:before="60" w:after="60" w:line="240" w:lineRule="auto"/>
    </w:pPr>
    <w:rPr>
      <w:rFonts w:ascii="Times New Roman" w:eastAsia="Times New Roman" w:hAnsi="Times New Roman" w:cs="Times New Roman"/>
      <w:b/>
      <w:bCs/>
    </w:rPr>
  </w:style>
  <w:style w:type="paragraph" w:customStyle="1" w:styleId="MdTableCell">
    <w:name w:val="MdTableCell"/>
    <w:qFormat/>
    <w:rsid w:val="00966743"/>
    <w:pPr>
      <w:spacing w:before="40" w:after="40" w:line="240" w:lineRule="auto"/>
    </w:pPr>
    <w:rPr>
      <w:rFonts w:ascii="Times New Roman" w:eastAsia="Times New Roman" w:hAnsi="Times New Roman" w:cs="Times New Roman"/>
      <w:sz w:val="20"/>
      <w:szCs w:val="20"/>
    </w:rPr>
  </w:style>
  <w:style w:type="paragraph" w:customStyle="1" w:styleId="MdHeading2">
    <w:name w:val="MdHeading2"/>
    <w:qFormat/>
    <w:rsid w:val="00966743"/>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Heading3">
    <w:name w:val="MdHeading3"/>
    <w:qFormat/>
    <w:rsid w:val="00966743"/>
    <w:pPr>
      <w:keepNext/>
      <w:spacing w:before="320" w:line="240" w:lineRule="auto"/>
      <w:outlineLvl w:val="2"/>
    </w:pPr>
    <w:rPr>
      <w:rFonts w:ascii="Times New Roman" w:eastAsia="Times New Roman" w:hAnsi="Times New Roman" w:cs="Times New Roman"/>
      <w:b/>
      <w:bCs/>
      <w:sz w:val="28"/>
      <w:szCs w:val="28"/>
    </w:rPr>
  </w:style>
  <w:style w:type="character" w:customStyle="1" w:styleId="MdStrong">
    <w:name w:val="MdStrong"/>
    <w:uiPriority w:val="99"/>
    <w:unhideWhenUsed/>
    <w:qFormat/>
    <w:rsid w:val="009667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1</cp:revision>
  <dcterms:created xsi:type="dcterms:W3CDTF">2026-09-02T10:39:00Z</dcterms:created>
  <dcterms:modified xsi:type="dcterms:W3CDTF">2026-09-02T10:39:00Z</dcterms:modified>
</cp:coreProperties>
</file>