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288" w:rsidRDefault="00514288" w:rsidP="00514288">
      <w:pPr>
        <w:pStyle w:val="MdHeading2"/>
        <w:jc w:val="center"/>
      </w:pPr>
      <w:bookmarkStart w:id="0" w:name="_GoBack"/>
      <w:bookmarkEnd w:id="0"/>
      <w:r>
        <w:t>Week 3 — Business intelligence and predictive insights</w:t>
      </w:r>
    </w:p>
    <w:p w:rsidR="00514288" w:rsidRDefault="00514288" w:rsidP="00514288">
      <w:pPr>
        <w:pStyle w:val="MdHeading3"/>
      </w:pPr>
      <w:r>
        <w:t>1. Trend and correlation answer</w:t>
      </w:r>
    </w:p>
    <w:p w:rsidR="00514288" w:rsidRDefault="00514288" w:rsidP="00514288">
      <w:pPr>
        <w:pStyle w:val="MdParagraph"/>
      </w:pPr>
      <w:r>
        <w:t xml:space="preserve">September is the best-performing month by revenue and total conversions. The Pearson correlation between </w:t>
      </w:r>
      <w:proofErr w:type="gramStart"/>
      <w:r>
        <w:t>ad</w:t>
      </w:r>
      <w:proofErr w:type="gramEnd"/>
      <w:r>
        <w:t xml:space="preserve"> spend and leads in the simulated campaign data is </w:t>
      </w:r>
      <w:r>
        <w:rPr>
          <w:rStyle w:val="MdStrong"/>
          <w:b w:val="0"/>
          <w:bCs w:val="0"/>
        </w:rPr>
        <w:t>0.07</w:t>
      </w:r>
      <w:r>
        <w:t>, indicating a weak positive association in this small sample. The result does not support a strong relationship between spend and leads here. This is not proof of causation because campaign quality, audience size, and channel mix also influence leads.</w:t>
      </w:r>
    </w:p>
    <w:p w:rsidR="00514288" w:rsidRDefault="00514288" w:rsidP="00514288">
      <w:pPr>
        <w:pStyle w:val="MdSpace"/>
        <w:spacing w:after="60"/>
      </w:pPr>
    </w:p>
    <w:p w:rsidR="00514288" w:rsidRDefault="00514288" w:rsidP="00514288">
      <w:pPr>
        <w:pStyle w:val="MdHeading3"/>
      </w:pPr>
      <w:r>
        <w:t>2. Campaign segmentation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369"/>
        <w:gridCol w:w="2377"/>
        <w:gridCol w:w="5614"/>
      </w:tblGrid>
      <w:tr w:rsidR="00514288" w:rsidTr="00B121FB">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514288" w:rsidRDefault="00514288" w:rsidP="00B121FB">
            <w:pPr>
              <w:pStyle w:val="MdTableHeader"/>
            </w:pPr>
            <w:r>
              <w:t>Segment</w:t>
            </w:r>
          </w:p>
        </w:tc>
        <w:tc>
          <w:tcPr>
            <w:tcW w:w="0" w:type="auto"/>
            <w:tcMar>
              <w:top w:w="100" w:type="dxa"/>
              <w:left w:w="120" w:type="dxa"/>
              <w:bottom w:w="100" w:type="dxa"/>
              <w:right w:w="120" w:type="dxa"/>
            </w:tcMar>
            <w:vAlign w:val="center"/>
          </w:tcPr>
          <w:p w:rsidR="00514288" w:rsidRDefault="00514288" w:rsidP="00B121FB">
            <w:pPr>
              <w:pStyle w:val="MdTableHeader"/>
            </w:pPr>
            <w:r>
              <w:t>Rule</w:t>
            </w:r>
          </w:p>
        </w:tc>
        <w:tc>
          <w:tcPr>
            <w:tcW w:w="0" w:type="auto"/>
            <w:tcMar>
              <w:top w:w="100" w:type="dxa"/>
              <w:left w:w="120" w:type="dxa"/>
              <w:bottom w:w="100" w:type="dxa"/>
              <w:right w:w="120" w:type="dxa"/>
            </w:tcMar>
            <w:vAlign w:val="center"/>
          </w:tcPr>
          <w:p w:rsidR="00514288" w:rsidRDefault="00514288" w:rsidP="00B121FB">
            <w:pPr>
              <w:pStyle w:val="MdTableHeader"/>
            </w:pPr>
            <w:r>
              <w:t>Campaign action</w:t>
            </w:r>
          </w:p>
        </w:tc>
      </w:tr>
      <w:tr w:rsidR="00514288"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514288" w:rsidRDefault="00514288" w:rsidP="00B121FB">
            <w:pPr>
              <w:pStyle w:val="MdTableCell"/>
            </w:pPr>
            <w:r>
              <w:t>Scale</w:t>
            </w:r>
          </w:p>
        </w:tc>
        <w:tc>
          <w:tcPr>
            <w:tcW w:w="0" w:type="auto"/>
            <w:tcMar>
              <w:top w:w="80" w:type="dxa"/>
              <w:left w:w="120" w:type="dxa"/>
              <w:bottom w:w="80" w:type="dxa"/>
              <w:right w:w="120" w:type="dxa"/>
            </w:tcMar>
            <w:vAlign w:val="center"/>
          </w:tcPr>
          <w:p w:rsidR="00514288" w:rsidRDefault="00514288" w:rsidP="00B121FB">
            <w:pPr>
              <w:pStyle w:val="MdTableCell"/>
            </w:pPr>
            <w:r>
              <w:t>ROI ≥ 600%</w:t>
            </w:r>
          </w:p>
        </w:tc>
        <w:tc>
          <w:tcPr>
            <w:tcW w:w="0" w:type="auto"/>
            <w:tcMar>
              <w:top w:w="80" w:type="dxa"/>
              <w:left w:w="120" w:type="dxa"/>
              <w:bottom w:w="80" w:type="dxa"/>
              <w:right w:w="120" w:type="dxa"/>
            </w:tcMar>
            <w:vAlign w:val="center"/>
          </w:tcPr>
          <w:p w:rsidR="00514288" w:rsidRDefault="00514288" w:rsidP="00B121FB">
            <w:pPr>
              <w:pStyle w:val="MdTableCell"/>
            </w:pPr>
            <w:r>
              <w:t>Increase budget gradually while monitoring CPL</w:t>
            </w:r>
          </w:p>
        </w:tc>
      </w:tr>
      <w:tr w:rsidR="00514288"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514288" w:rsidRDefault="00514288" w:rsidP="00B121FB">
            <w:pPr>
              <w:pStyle w:val="MdTableCell"/>
            </w:pPr>
            <w:r>
              <w:t>Optimize</w:t>
            </w:r>
          </w:p>
        </w:tc>
        <w:tc>
          <w:tcPr>
            <w:tcW w:w="0" w:type="auto"/>
            <w:tcMar>
              <w:top w:w="80" w:type="dxa"/>
              <w:left w:w="120" w:type="dxa"/>
              <w:bottom w:w="80" w:type="dxa"/>
              <w:right w:w="120" w:type="dxa"/>
            </w:tcMar>
            <w:vAlign w:val="center"/>
          </w:tcPr>
          <w:p w:rsidR="00514288" w:rsidRDefault="00514288" w:rsidP="00B121FB">
            <w:pPr>
              <w:pStyle w:val="MdTableCell"/>
            </w:pPr>
            <w:r>
              <w:t>ROI 450%–599.9%</w:t>
            </w:r>
          </w:p>
        </w:tc>
        <w:tc>
          <w:tcPr>
            <w:tcW w:w="0" w:type="auto"/>
            <w:tcMar>
              <w:top w:w="80" w:type="dxa"/>
              <w:left w:w="120" w:type="dxa"/>
              <w:bottom w:w="80" w:type="dxa"/>
              <w:right w:w="120" w:type="dxa"/>
            </w:tcMar>
            <w:vAlign w:val="center"/>
          </w:tcPr>
          <w:p w:rsidR="00514288" w:rsidRDefault="00514288" w:rsidP="00B121FB">
            <w:pPr>
              <w:pStyle w:val="MdTableCell"/>
            </w:pPr>
            <w:r>
              <w:t>Improve audience, offer, or creative before scaling</w:t>
            </w:r>
          </w:p>
        </w:tc>
      </w:tr>
      <w:tr w:rsidR="00514288" w:rsidTr="00B121FB">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514288" w:rsidRDefault="00514288" w:rsidP="00B121FB">
            <w:pPr>
              <w:pStyle w:val="MdTableCell"/>
            </w:pPr>
            <w:r>
              <w:t>Review</w:t>
            </w:r>
          </w:p>
        </w:tc>
        <w:tc>
          <w:tcPr>
            <w:tcW w:w="0" w:type="auto"/>
            <w:tcBorders>
              <w:bottom w:val="single" w:sz="4" w:space="0" w:color="E1E4E8"/>
            </w:tcBorders>
            <w:tcMar>
              <w:top w:w="80" w:type="dxa"/>
              <w:left w:w="120" w:type="dxa"/>
              <w:bottom w:w="80" w:type="dxa"/>
              <w:right w:w="120" w:type="dxa"/>
            </w:tcMar>
            <w:vAlign w:val="center"/>
          </w:tcPr>
          <w:p w:rsidR="00514288" w:rsidRDefault="00514288" w:rsidP="00B121FB">
            <w:pPr>
              <w:pStyle w:val="MdTableCell"/>
            </w:pPr>
            <w:r>
              <w:t>ROI &lt; 450%</w:t>
            </w:r>
          </w:p>
        </w:tc>
        <w:tc>
          <w:tcPr>
            <w:tcW w:w="0" w:type="auto"/>
            <w:tcBorders>
              <w:bottom w:val="single" w:sz="4" w:space="0" w:color="E1E4E8"/>
            </w:tcBorders>
            <w:tcMar>
              <w:top w:w="80" w:type="dxa"/>
              <w:left w:w="120" w:type="dxa"/>
              <w:bottom w:w="80" w:type="dxa"/>
              <w:right w:w="120" w:type="dxa"/>
            </w:tcMar>
            <w:vAlign w:val="center"/>
          </w:tcPr>
          <w:p w:rsidR="00514288" w:rsidRDefault="00514288" w:rsidP="00B121FB">
            <w:pPr>
              <w:pStyle w:val="MdTableCell"/>
            </w:pPr>
            <w:r>
              <w:t>Run a structured diagnosis or pause</w:t>
            </w:r>
          </w:p>
        </w:tc>
      </w:tr>
    </w:tbl>
    <w:p w:rsidR="00514288" w:rsidRDefault="00514288" w:rsidP="00514288">
      <w:pPr>
        <w:pStyle w:val="MdParagraph"/>
      </w:pPr>
      <w:r>
        <w:t>This classification places the strongest email programs in the Scale group. Several Ads campaigns fall into Optimize, while the weakest Ads campaigns fall into Review, suggesting that the channel has potential but requires tighter allocation.</w:t>
      </w:r>
    </w:p>
    <w:p w:rsidR="00514288" w:rsidRDefault="00514288" w:rsidP="00514288">
      <w:pPr>
        <w:pStyle w:val="MdSpace"/>
        <w:spacing w:after="60"/>
      </w:pPr>
    </w:p>
    <w:p w:rsidR="00514288" w:rsidRDefault="00514288" w:rsidP="00514288">
      <w:pPr>
        <w:pStyle w:val="MdHeading3"/>
      </w:pPr>
      <w:r>
        <w:t>3. Predictive insight</w:t>
      </w:r>
    </w:p>
    <w:p w:rsidR="00514288" w:rsidRDefault="00514288" w:rsidP="00514288">
      <w:pPr>
        <w:pStyle w:val="MdParagraph"/>
      </w:pPr>
      <w:r>
        <w:t xml:space="preserve">A simple linear regression of monthly revenue against month number produces the model </w:t>
      </w:r>
      <w:r>
        <w:rPr>
          <w:rStyle w:val="MdStrong"/>
          <w:b w:val="0"/>
          <w:bCs w:val="0"/>
        </w:rPr>
        <w:t>Revenue = 56,500 × Month + 333,000</w:t>
      </w:r>
      <w:r>
        <w:t xml:space="preserve">. Projecting month four gives an estimated next-quarter monthly revenue of </w:t>
      </w:r>
      <w:r>
        <w:rPr>
          <w:rStyle w:val="MdStrong"/>
          <w:b w:val="0"/>
          <w:bCs w:val="0"/>
        </w:rPr>
        <w:t>$559,000</w:t>
      </w:r>
      <w:r>
        <w:t>. This is a directional estimate, not a forecast with confidence intervals, because only three monthly observations are available. The estimate should be refreshed with at least 12–24 months of historical data and adjusted for planned budgets, seasonality, promotions, and pipeline changes.</w:t>
      </w:r>
    </w:p>
    <w:p w:rsidR="00514288" w:rsidRDefault="00514288" w:rsidP="00514288">
      <w:pPr>
        <w:pStyle w:val="MdSpace"/>
        <w:spacing w:after="60"/>
      </w:pPr>
    </w:p>
    <w:p w:rsidR="00514288" w:rsidRDefault="00514288" w:rsidP="00514288">
      <w:pPr>
        <w:pStyle w:val="MdHeading3"/>
      </w:pPr>
      <w:r>
        <w:t>4. Competitor comparison matrix</w:t>
      </w:r>
    </w:p>
    <w:p w:rsidR="00514288" w:rsidRDefault="00514288" w:rsidP="00514288">
      <w:pPr>
        <w:pStyle w:val="MdParagraph"/>
      </w:pPr>
      <w:r>
        <w:t xml:space="preserve">The following figures are </w:t>
      </w:r>
      <w:r>
        <w:rPr>
          <w:rStyle w:val="MdStrong"/>
          <w:b w:val="0"/>
          <w:bCs w:val="0"/>
        </w:rPr>
        <w:t>simulated benchmark data for portfolio practice</w:t>
      </w:r>
      <w:r>
        <w:t>, not verified competitor disclosures.</w:t>
      </w:r>
    </w:p>
    <w:p w:rsidR="00514288" w:rsidRDefault="00514288" w:rsidP="00514288">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794"/>
        <w:gridCol w:w="1781"/>
        <w:gridCol w:w="1578"/>
        <w:gridCol w:w="1584"/>
        <w:gridCol w:w="2623"/>
      </w:tblGrid>
      <w:tr w:rsidR="00514288" w:rsidTr="00B121FB">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514288" w:rsidRDefault="00514288" w:rsidP="00B121FB">
            <w:pPr>
              <w:pStyle w:val="MdTableHeader"/>
            </w:pPr>
            <w:r>
              <w:lastRenderedPageBreak/>
              <w:t>Metric</w:t>
            </w:r>
          </w:p>
        </w:tc>
        <w:tc>
          <w:tcPr>
            <w:tcW w:w="0" w:type="auto"/>
            <w:tcMar>
              <w:top w:w="100" w:type="dxa"/>
              <w:left w:w="120" w:type="dxa"/>
              <w:bottom w:w="100" w:type="dxa"/>
              <w:right w:w="120" w:type="dxa"/>
            </w:tcMar>
            <w:vAlign w:val="center"/>
          </w:tcPr>
          <w:p w:rsidR="00514288" w:rsidRDefault="00514288" w:rsidP="00B121FB">
            <w:pPr>
              <w:pStyle w:val="MdTableHeader"/>
              <w:jc w:val="right"/>
            </w:pPr>
            <w:r>
              <w:t>Tech Savvy Solutions</w:t>
            </w:r>
          </w:p>
        </w:tc>
        <w:tc>
          <w:tcPr>
            <w:tcW w:w="0" w:type="auto"/>
            <w:tcMar>
              <w:top w:w="100" w:type="dxa"/>
              <w:left w:w="120" w:type="dxa"/>
              <w:bottom w:w="100" w:type="dxa"/>
              <w:right w:w="120" w:type="dxa"/>
            </w:tcMar>
            <w:vAlign w:val="center"/>
          </w:tcPr>
          <w:p w:rsidR="00514288" w:rsidRDefault="00514288" w:rsidP="00B121FB">
            <w:pPr>
              <w:pStyle w:val="MdTableHeader"/>
              <w:jc w:val="right"/>
            </w:pPr>
            <w:proofErr w:type="spellStart"/>
            <w:r>
              <w:t>Northstar</w:t>
            </w:r>
            <w:proofErr w:type="spellEnd"/>
            <w:r>
              <w:t xml:space="preserve"> Digital</w:t>
            </w:r>
          </w:p>
        </w:tc>
        <w:tc>
          <w:tcPr>
            <w:tcW w:w="0" w:type="auto"/>
            <w:tcMar>
              <w:top w:w="100" w:type="dxa"/>
              <w:left w:w="120" w:type="dxa"/>
              <w:bottom w:w="100" w:type="dxa"/>
              <w:right w:w="120" w:type="dxa"/>
            </w:tcMar>
            <w:vAlign w:val="center"/>
          </w:tcPr>
          <w:p w:rsidR="00514288" w:rsidRDefault="00514288" w:rsidP="00B121FB">
            <w:pPr>
              <w:pStyle w:val="MdTableHeader"/>
              <w:jc w:val="right"/>
            </w:pPr>
            <w:r>
              <w:t>Maple Growth Co.</w:t>
            </w:r>
          </w:p>
        </w:tc>
        <w:tc>
          <w:tcPr>
            <w:tcW w:w="0" w:type="auto"/>
            <w:tcMar>
              <w:top w:w="100" w:type="dxa"/>
              <w:left w:w="120" w:type="dxa"/>
              <w:bottom w:w="100" w:type="dxa"/>
              <w:right w:w="120" w:type="dxa"/>
            </w:tcMar>
            <w:vAlign w:val="center"/>
          </w:tcPr>
          <w:p w:rsidR="00514288" w:rsidRDefault="00514288" w:rsidP="00B121FB">
            <w:pPr>
              <w:pStyle w:val="MdTableHeader"/>
            </w:pPr>
            <w:r>
              <w:t>Interpretation</w:t>
            </w:r>
          </w:p>
        </w:tc>
      </w:tr>
      <w:tr w:rsidR="00514288"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514288" w:rsidRDefault="00514288" w:rsidP="00B121FB">
            <w:pPr>
              <w:pStyle w:val="MdTableCell"/>
            </w:pPr>
            <w:r>
              <w:t>Blended ROI</w:t>
            </w:r>
          </w:p>
        </w:tc>
        <w:tc>
          <w:tcPr>
            <w:tcW w:w="0" w:type="auto"/>
            <w:tcMar>
              <w:top w:w="80" w:type="dxa"/>
              <w:left w:w="120" w:type="dxa"/>
              <w:bottom w:w="80" w:type="dxa"/>
              <w:right w:w="120" w:type="dxa"/>
            </w:tcMar>
            <w:vAlign w:val="center"/>
          </w:tcPr>
          <w:p w:rsidR="00514288" w:rsidRDefault="00514288" w:rsidP="00B121FB">
            <w:pPr>
              <w:pStyle w:val="MdTableCell"/>
              <w:jc w:val="right"/>
            </w:pPr>
            <w:r>
              <w:t>537.1%</w:t>
            </w:r>
          </w:p>
        </w:tc>
        <w:tc>
          <w:tcPr>
            <w:tcW w:w="0" w:type="auto"/>
            <w:tcMar>
              <w:top w:w="80" w:type="dxa"/>
              <w:left w:w="120" w:type="dxa"/>
              <w:bottom w:w="80" w:type="dxa"/>
              <w:right w:w="120" w:type="dxa"/>
            </w:tcMar>
            <w:vAlign w:val="center"/>
          </w:tcPr>
          <w:p w:rsidR="00514288" w:rsidRDefault="00514288" w:rsidP="00B121FB">
            <w:pPr>
              <w:pStyle w:val="MdTableCell"/>
              <w:jc w:val="right"/>
            </w:pPr>
            <w:r>
              <w:t>16.5%</w:t>
            </w:r>
          </w:p>
        </w:tc>
        <w:tc>
          <w:tcPr>
            <w:tcW w:w="0" w:type="auto"/>
            <w:tcMar>
              <w:top w:w="80" w:type="dxa"/>
              <w:left w:w="120" w:type="dxa"/>
              <w:bottom w:w="80" w:type="dxa"/>
              <w:right w:w="120" w:type="dxa"/>
            </w:tcMar>
            <w:vAlign w:val="center"/>
          </w:tcPr>
          <w:p w:rsidR="00514288" w:rsidRDefault="00514288" w:rsidP="00B121FB">
            <w:pPr>
              <w:pStyle w:val="MdTableCell"/>
              <w:jc w:val="right"/>
            </w:pPr>
            <w:r>
              <w:t>14.2%</w:t>
            </w:r>
          </w:p>
        </w:tc>
        <w:tc>
          <w:tcPr>
            <w:tcW w:w="0" w:type="auto"/>
            <w:tcMar>
              <w:top w:w="80" w:type="dxa"/>
              <w:left w:w="120" w:type="dxa"/>
              <w:bottom w:w="80" w:type="dxa"/>
              <w:right w:w="120" w:type="dxa"/>
            </w:tcMar>
            <w:vAlign w:val="center"/>
          </w:tcPr>
          <w:p w:rsidR="00514288" w:rsidRDefault="00514288" w:rsidP="00B121FB">
            <w:pPr>
              <w:pStyle w:val="MdTableCell"/>
            </w:pPr>
            <w:r>
              <w:t>TSS leads the simulated benchmark</w:t>
            </w:r>
          </w:p>
        </w:tc>
      </w:tr>
      <w:tr w:rsidR="00514288"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514288" w:rsidRDefault="00514288" w:rsidP="00B121FB">
            <w:pPr>
              <w:pStyle w:val="MdTableCell"/>
            </w:pPr>
            <w:r>
              <w:t>Conversion rate</w:t>
            </w:r>
          </w:p>
        </w:tc>
        <w:tc>
          <w:tcPr>
            <w:tcW w:w="0" w:type="auto"/>
            <w:tcMar>
              <w:top w:w="80" w:type="dxa"/>
              <w:left w:w="120" w:type="dxa"/>
              <w:bottom w:w="80" w:type="dxa"/>
              <w:right w:w="120" w:type="dxa"/>
            </w:tcMar>
            <w:vAlign w:val="center"/>
          </w:tcPr>
          <w:p w:rsidR="00514288" w:rsidRDefault="00514288" w:rsidP="00B121FB">
            <w:pPr>
              <w:pStyle w:val="MdTableCell"/>
              <w:jc w:val="right"/>
            </w:pPr>
            <w:r>
              <w:t>2.6%</w:t>
            </w:r>
          </w:p>
        </w:tc>
        <w:tc>
          <w:tcPr>
            <w:tcW w:w="0" w:type="auto"/>
            <w:tcMar>
              <w:top w:w="80" w:type="dxa"/>
              <w:left w:w="120" w:type="dxa"/>
              <w:bottom w:w="80" w:type="dxa"/>
              <w:right w:w="120" w:type="dxa"/>
            </w:tcMar>
            <w:vAlign w:val="center"/>
          </w:tcPr>
          <w:p w:rsidR="00514288" w:rsidRDefault="00514288" w:rsidP="00B121FB">
            <w:pPr>
              <w:pStyle w:val="MdTableCell"/>
              <w:jc w:val="right"/>
            </w:pPr>
            <w:r>
              <w:t>5.8%</w:t>
            </w:r>
          </w:p>
        </w:tc>
        <w:tc>
          <w:tcPr>
            <w:tcW w:w="0" w:type="auto"/>
            <w:tcMar>
              <w:top w:w="80" w:type="dxa"/>
              <w:left w:w="120" w:type="dxa"/>
              <w:bottom w:w="80" w:type="dxa"/>
              <w:right w:w="120" w:type="dxa"/>
            </w:tcMar>
            <w:vAlign w:val="center"/>
          </w:tcPr>
          <w:p w:rsidR="00514288" w:rsidRDefault="00514288" w:rsidP="00B121FB">
            <w:pPr>
              <w:pStyle w:val="MdTableCell"/>
              <w:jc w:val="right"/>
            </w:pPr>
            <w:r>
              <w:t>4.9%</w:t>
            </w:r>
          </w:p>
        </w:tc>
        <w:tc>
          <w:tcPr>
            <w:tcW w:w="0" w:type="auto"/>
            <w:tcMar>
              <w:top w:w="80" w:type="dxa"/>
              <w:left w:w="120" w:type="dxa"/>
              <w:bottom w:w="80" w:type="dxa"/>
              <w:right w:w="120" w:type="dxa"/>
            </w:tcMar>
            <w:vAlign w:val="center"/>
          </w:tcPr>
          <w:p w:rsidR="00514288" w:rsidRDefault="00514288" w:rsidP="00B121FB">
            <w:pPr>
              <w:pStyle w:val="MdTableCell"/>
            </w:pPr>
            <w:r>
              <w:t>TSS should improve funnel efficiency</w:t>
            </w:r>
          </w:p>
        </w:tc>
      </w:tr>
      <w:tr w:rsidR="00514288"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514288" w:rsidRDefault="00514288" w:rsidP="00B121FB">
            <w:pPr>
              <w:pStyle w:val="MdTableCell"/>
            </w:pPr>
            <w:r>
              <w:t>CPL</w:t>
            </w:r>
          </w:p>
        </w:tc>
        <w:tc>
          <w:tcPr>
            <w:tcW w:w="0" w:type="auto"/>
            <w:tcMar>
              <w:top w:w="80" w:type="dxa"/>
              <w:left w:w="120" w:type="dxa"/>
              <w:bottom w:w="80" w:type="dxa"/>
              <w:right w:w="120" w:type="dxa"/>
            </w:tcMar>
            <w:vAlign w:val="center"/>
          </w:tcPr>
          <w:p w:rsidR="00514288" w:rsidRDefault="00514288" w:rsidP="00B121FB">
            <w:pPr>
              <w:pStyle w:val="MdTableCell"/>
              <w:jc w:val="right"/>
            </w:pPr>
            <w:r>
              <w:t>$45.75</w:t>
            </w:r>
          </w:p>
        </w:tc>
        <w:tc>
          <w:tcPr>
            <w:tcW w:w="0" w:type="auto"/>
            <w:tcMar>
              <w:top w:w="80" w:type="dxa"/>
              <w:left w:w="120" w:type="dxa"/>
              <w:bottom w:w="80" w:type="dxa"/>
              <w:right w:w="120" w:type="dxa"/>
            </w:tcMar>
            <w:vAlign w:val="center"/>
          </w:tcPr>
          <w:p w:rsidR="00514288" w:rsidRDefault="00514288" w:rsidP="00B121FB">
            <w:pPr>
              <w:pStyle w:val="MdTableCell"/>
              <w:jc w:val="right"/>
            </w:pPr>
            <w:r>
              <w:t>$25.40</w:t>
            </w:r>
          </w:p>
        </w:tc>
        <w:tc>
          <w:tcPr>
            <w:tcW w:w="0" w:type="auto"/>
            <w:tcMar>
              <w:top w:w="80" w:type="dxa"/>
              <w:left w:w="120" w:type="dxa"/>
              <w:bottom w:w="80" w:type="dxa"/>
              <w:right w:w="120" w:type="dxa"/>
            </w:tcMar>
            <w:vAlign w:val="center"/>
          </w:tcPr>
          <w:p w:rsidR="00514288" w:rsidRDefault="00514288" w:rsidP="00B121FB">
            <w:pPr>
              <w:pStyle w:val="MdTableCell"/>
              <w:jc w:val="right"/>
            </w:pPr>
            <w:r>
              <w:t>$28.10</w:t>
            </w:r>
          </w:p>
        </w:tc>
        <w:tc>
          <w:tcPr>
            <w:tcW w:w="0" w:type="auto"/>
            <w:tcMar>
              <w:top w:w="80" w:type="dxa"/>
              <w:left w:w="120" w:type="dxa"/>
              <w:bottom w:w="80" w:type="dxa"/>
              <w:right w:w="120" w:type="dxa"/>
            </w:tcMar>
            <w:vAlign w:val="center"/>
          </w:tcPr>
          <w:p w:rsidR="00514288" w:rsidRDefault="00514288" w:rsidP="00B121FB">
            <w:pPr>
              <w:pStyle w:val="MdTableCell"/>
            </w:pPr>
            <w:r>
              <w:t>TSS should reduce acquisition cost</w:t>
            </w:r>
          </w:p>
        </w:tc>
      </w:tr>
      <w:tr w:rsidR="00514288" w:rsidTr="00B121FB">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514288" w:rsidRDefault="00514288" w:rsidP="00B121FB">
            <w:pPr>
              <w:pStyle w:val="MdTableCell"/>
            </w:pPr>
            <w:r>
              <w:t>Monthly revenue growth</w:t>
            </w:r>
          </w:p>
        </w:tc>
        <w:tc>
          <w:tcPr>
            <w:tcW w:w="0" w:type="auto"/>
            <w:tcBorders>
              <w:bottom w:val="single" w:sz="4" w:space="0" w:color="E1E4E8"/>
            </w:tcBorders>
            <w:tcMar>
              <w:top w:w="80" w:type="dxa"/>
              <w:left w:w="120" w:type="dxa"/>
              <w:bottom w:w="80" w:type="dxa"/>
              <w:right w:w="120" w:type="dxa"/>
            </w:tcMar>
            <w:vAlign w:val="center"/>
          </w:tcPr>
          <w:p w:rsidR="00514288" w:rsidRDefault="00514288" w:rsidP="00B121FB">
            <w:pPr>
              <w:pStyle w:val="MdTableCell"/>
              <w:jc w:val="right"/>
            </w:pPr>
            <w:r>
              <w:t>12.3%</w:t>
            </w:r>
          </w:p>
        </w:tc>
        <w:tc>
          <w:tcPr>
            <w:tcW w:w="0" w:type="auto"/>
            <w:tcBorders>
              <w:bottom w:val="single" w:sz="4" w:space="0" w:color="E1E4E8"/>
            </w:tcBorders>
            <w:tcMar>
              <w:top w:w="80" w:type="dxa"/>
              <w:left w:w="120" w:type="dxa"/>
              <w:bottom w:w="80" w:type="dxa"/>
              <w:right w:w="120" w:type="dxa"/>
            </w:tcMar>
            <w:vAlign w:val="center"/>
          </w:tcPr>
          <w:p w:rsidR="00514288" w:rsidRDefault="00514288" w:rsidP="00B121FB">
            <w:pPr>
              <w:pStyle w:val="MdTableCell"/>
              <w:jc w:val="right"/>
            </w:pPr>
            <w:r>
              <w:t>4.0%</w:t>
            </w:r>
          </w:p>
        </w:tc>
        <w:tc>
          <w:tcPr>
            <w:tcW w:w="0" w:type="auto"/>
            <w:tcBorders>
              <w:bottom w:val="single" w:sz="4" w:space="0" w:color="E1E4E8"/>
            </w:tcBorders>
            <w:tcMar>
              <w:top w:w="80" w:type="dxa"/>
              <w:left w:w="120" w:type="dxa"/>
              <w:bottom w:w="80" w:type="dxa"/>
              <w:right w:w="120" w:type="dxa"/>
            </w:tcMar>
            <w:vAlign w:val="center"/>
          </w:tcPr>
          <w:p w:rsidR="00514288" w:rsidRDefault="00514288" w:rsidP="00B121FB">
            <w:pPr>
              <w:pStyle w:val="MdTableCell"/>
              <w:jc w:val="right"/>
            </w:pPr>
            <w:r>
              <w:t>2.5%</w:t>
            </w:r>
          </w:p>
        </w:tc>
        <w:tc>
          <w:tcPr>
            <w:tcW w:w="0" w:type="auto"/>
            <w:tcBorders>
              <w:bottom w:val="single" w:sz="4" w:space="0" w:color="E1E4E8"/>
            </w:tcBorders>
            <w:tcMar>
              <w:top w:w="80" w:type="dxa"/>
              <w:left w:w="120" w:type="dxa"/>
              <w:bottom w:w="80" w:type="dxa"/>
              <w:right w:w="120" w:type="dxa"/>
            </w:tcMar>
            <w:vAlign w:val="center"/>
          </w:tcPr>
          <w:p w:rsidR="00514288" w:rsidRDefault="00514288" w:rsidP="00B121FB">
            <w:pPr>
              <w:pStyle w:val="MdTableCell"/>
            </w:pPr>
            <w:r>
              <w:t>TSS shows stronger recent momentum</w:t>
            </w:r>
          </w:p>
        </w:tc>
      </w:tr>
    </w:tbl>
    <w:p w:rsidR="00514288" w:rsidRDefault="00514288" w:rsidP="00514288">
      <w:pPr>
        <w:pStyle w:val="MdHeading3"/>
      </w:pPr>
      <w:r>
        <w:t>5. Strategy memo</w:t>
      </w:r>
    </w:p>
    <w:p w:rsidR="00514288" w:rsidRDefault="00514288" w:rsidP="00514288">
      <w:pPr>
        <w:pStyle w:val="MdParagraph"/>
      </w:pPr>
      <w:r>
        <w:rPr>
          <w:rStyle w:val="MdStrong"/>
          <w:b w:val="0"/>
          <w:bCs w:val="0"/>
        </w:rPr>
        <w:t>To:</w:t>
      </w:r>
      <w:r>
        <w:t xml:space="preserve"> Linda Williams</w:t>
      </w:r>
      <w:r>
        <w:rPr>
          <w:rStyle w:val="MdBr"/>
        </w:rPr>
        <w:br/>
      </w:r>
      <w:r>
        <w:rPr>
          <w:rStyle w:val="MdStrong"/>
          <w:b w:val="0"/>
          <w:bCs w:val="0"/>
        </w:rPr>
        <w:t>From:</w:t>
      </w:r>
      <w:r>
        <w:t xml:space="preserve"> </w:t>
      </w:r>
      <w:proofErr w:type="gramStart"/>
      <w:r>
        <w:t>Your</w:t>
      </w:r>
      <w:proofErr w:type="gramEnd"/>
      <w:r>
        <w:t xml:space="preserve"> Name, Data Analyst</w:t>
      </w:r>
      <w:r>
        <w:rPr>
          <w:rStyle w:val="MdBr"/>
        </w:rPr>
        <w:br/>
      </w:r>
      <w:r>
        <w:rPr>
          <w:rStyle w:val="MdStrong"/>
          <w:b w:val="0"/>
          <w:bCs w:val="0"/>
        </w:rPr>
        <w:t>Subject:</w:t>
      </w:r>
      <w:r>
        <w:t xml:space="preserve"> Q4 campaign allocation and reporting recommendations</w:t>
      </w:r>
    </w:p>
    <w:p w:rsidR="00514288" w:rsidRDefault="00514288" w:rsidP="00514288">
      <w:pPr>
        <w:pStyle w:val="MdSpace"/>
        <w:spacing w:after="60"/>
      </w:pPr>
    </w:p>
    <w:p w:rsidR="00514288" w:rsidRDefault="00514288" w:rsidP="00514288">
      <w:pPr>
        <w:pStyle w:val="MdParagraph"/>
      </w:pPr>
      <w:r>
        <w:t xml:space="preserve">The analysis indicates that Email is the most efficient growth channel, while September is the strongest month in the current period. Spend and leads show only a weak association in this sample, so budget should not be increased indiscriminately because the relationship does not establish causation. I recommend allocating incremental budget first to VIP, win-back, and high-performing retargeting campaigns; setting minimum ROI and maximum CPL thresholds; and placing Social in a controlled experimentation program. The directional month-four revenue projection is </w:t>
      </w:r>
      <w:r>
        <w:rPr>
          <w:rStyle w:val="MdStrong"/>
          <w:b w:val="0"/>
          <w:bCs w:val="0"/>
        </w:rPr>
        <w:t>$559,000</w:t>
      </w:r>
      <w:r>
        <w:t>, subject to substantial uncertainty. Management should review the forecast weekly against actuals and revise it when additional data becomes available.</w:t>
      </w:r>
    </w:p>
    <w:p w:rsidR="00D5579B" w:rsidRDefault="00D5579B"/>
    <w:sectPr w:rsidR="00D557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288"/>
    <w:rsid w:val="00514288"/>
    <w:rsid w:val="00D55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D3A1F9-4577-41BE-9D02-FC34B7696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428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Space">
    <w:name w:val="MdSpace"/>
    <w:qFormat/>
    <w:rsid w:val="00514288"/>
    <w:pPr>
      <w:spacing w:after="0" w:line="240" w:lineRule="auto"/>
    </w:pPr>
    <w:rPr>
      <w:rFonts w:ascii="Times New Roman" w:eastAsia="Times New Roman" w:hAnsi="Times New Roman" w:cs="Times New Roman"/>
      <w:sz w:val="12"/>
      <w:szCs w:val="12"/>
    </w:rPr>
  </w:style>
  <w:style w:type="paragraph" w:customStyle="1" w:styleId="MdParagraph">
    <w:name w:val="MdParagraph"/>
    <w:qFormat/>
    <w:rsid w:val="00514288"/>
    <w:pPr>
      <w:spacing w:before="120" w:after="120" w:line="240" w:lineRule="auto"/>
    </w:pPr>
    <w:rPr>
      <w:rFonts w:ascii="Times New Roman" w:eastAsia="Times New Roman" w:hAnsi="Times New Roman" w:cs="Times New Roman"/>
      <w:sz w:val="24"/>
      <w:szCs w:val="24"/>
    </w:rPr>
  </w:style>
  <w:style w:type="paragraph" w:customStyle="1" w:styleId="MdTableHeader">
    <w:name w:val="MdTableHeader"/>
    <w:qFormat/>
    <w:rsid w:val="00514288"/>
    <w:pPr>
      <w:spacing w:before="60" w:after="60" w:line="240" w:lineRule="auto"/>
    </w:pPr>
    <w:rPr>
      <w:rFonts w:ascii="Times New Roman" w:eastAsia="Times New Roman" w:hAnsi="Times New Roman" w:cs="Times New Roman"/>
      <w:b/>
      <w:bCs/>
    </w:rPr>
  </w:style>
  <w:style w:type="paragraph" w:customStyle="1" w:styleId="MdTableCell">
    <w:name w:val="MdTableCell"/>
    <w:qFormat/>
    <w:rsid w:val="00514288"/>
    <w:pPr>
      <w:spacing w:before="40" w:after="40" w:line="240" w:lineRule="auto"/>
    </w:pPr>
    <w:rPr>
      <w:rFonts w:ascii="Times New Roman" w:eastAsia="Times New Roman" w:hAnsi="Times New Roman" w:cs="Times New Roman"/>
      <w:sz w:val="20"/>
      <w:szCs w:val="20"/>
    </w:rPr>
  </w:style>
  <w:style w:type="paragraph" w:customStyle="1" w:styleId="MdHeading2">
    <w:name w:val="MdHeading2"/>
    <w:qFormat/>
    <w:rsid w:val="00514288"/>
    <w:pPr>
      <w:keepNext/>
      <w:spacing w:before="400" w:after="200" w:line="240" w:lineRule="auto"/>
      <w:outlineLvl w:val="1"/>
    </w:pPr>
    <w:rPr>
      <w:rFonts w:ascii="Times New Roman" w:eastAsia="Times New Roman" w:hAnsi="Times New Roman" w:cs="Times New Roman"/>
      <w:b/>
      <w:bCs/>
      <w:sz w:val="32"/>
      <w:szCs w:val="32"/>
    </w:rPr>
  </w:style>
  <w:style w:type="paragraph" w:customStyle="1" w:styleId="MdHeading3">
    <w:name w:val="MdHeading3"/>
    <w:qFormat/>
    <w:rsid w:val="00514288"/>
    <w:pPr>
      <w:keepNext/>
      <w:spacing w:before="320" w:line="240" w:lineRule="auto"/>
      <w:outlineLvl w:val="2"/>
    </w:pPr>
    <w:rPr>
      <w:rFonts w:ascii="Times New Roman" w:eastAsia="Times New Roman" w:hAnsi="Times New Roman" w:cs="Times New Roman"/>
      <w:b/>
      <w:bCs/>
      <w:sz w:val="28"/>
      <w:szCs w:val="28"/>
    </w:rPr>
  </w:style>
  <w:style w:type="character" w:customStyle="1" w:styleId="MdStrong">
    <w:name w:val="MdStrong"/>
    <w:uiPriority w:val="99"/>
    <w:unhideWhenUsed/>
    <w:qFormat/>
    <w:rsid w:val="00514288"/>
    <w:rPr>
      <w:b/>
      <w:bCs/>
    </w:rPr>
  </w:style>
  <w:style w:type="character" w:customStyle="1" w:styleId="MdBr">
    <w:name w:val="MdBr"/>
    <w:uiPriority w:val="99"/>
    <w:unhideWhenUsed/>
    <w:qFormat/>
    <w:rsid w:val="00514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Joseph</cp:lastModifiedBy>
  <cp:revision>1</cp:revision>
  <dcterms:created xsi:type="dcterms:W3CDTF">2026-09-02T10:40:00Z</dcterms:created>
  <dcterms:modified xsi:type="dcterms:W3CDTF">2026-09-02T10:41:00Z</dcterms:modified>
</cp:coreProperties>
</file>