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4B8A6"/>
          <w:sz w:val="104"/>
        </w:rPr>
        <w:t>ACAD</w:t>
      </w:r>
    </w:p>
    <w:p>
      <w:pPr>
        <w:jc w:val="center"/>
      </w:pPr>
      <w:r>
        <w:rPr>
          <w:color w:val="94A3B8"/>
          <w:sz w:val="40"/>
        </w:rPr>
        <w:t>Academic Comeback Conditioning</w:t>
      </w:r>
    </w:p>
    <w:p/>
    <w:p>
      <w:pPr>
        <w:jc w:val="center"/>
      </w:pPr>
      <w:r>
        <w:rPr>
          <w:b/>
          <w:color w:val="F8FAFC"/>
          <w:sz w:val="56"/>
        </w:rPr>
        <w:t>Product Presentation</w:t>
      </w:r>
    </w:p>
    <w:p/>
    <w:p>
      <w:pPr>
        <w:jc w:val="center"/>
      </w:pPr>
      <w:r>
        <w:rPr>
          <w:color w:val="94A3B8"/>
          <w:sz w:val="28"/>
        </w:rPr>
        <w:t>July 21, 2026</w:t>
      </w:r>
    </w:p>
    <w:p/>
    <w:p>
      <w:pPr>
        <w:jc w:val="center"/>
      </w:pPr>
      <w:r>
        <w:rPr>
          <w:i/>
          <w:color w:val="2DD4BF"/>
          <w:sz w:val="32"/>
        </w:rPr>
        <w:t>3-Month Subscription Model</w:t>
      </w:r>
    </w:p>
    <w:p>
      <w:r>
        <w:br w:type="page"/>
      </w:r>
    </w:p>
    <w:p>
      <w:pPr>
        <w:pStyle w:val="Heading1"/>
      </w:pPr>
      <w:r>
        <w:t>Table of Contents</w:t>
      </w:r>
    </w:p>
    <w:p>
      <w:r>
        <w:rPr>
          <w:b w:val="0"/>
          <w:i w:val="0"/>
          <w:sz w:val="22"/>
        </w:rPr>
        <w:t>1. Executive Summary</w:t>
      </w:r>
    </w:p>
    <w:p>
      <w:r>
        <w:rPr>
          <w:b w:val="0"/>
          <w:i w:val="0"/>
          <w:sz w:val="22"/>
        </w:rPr>
        <w:t>2. Tech Stack Overview</w:t>
      </w:r>
    </w:p>
    <w:p>
      <w:r>
        <w:rPr>
          <w:b w:val="0"/>
          <w:i w:val="0"/>
          <w:sz w:val="22"/>
        </w:rPr>
        <w:t>3. Page-by-Page Breakdown</w:t>
      </w:r>
    </w:p>
    <w:p>
      <w:r>
        <w:rPr>
          <w:b w:val="0"/>
          <w:i w:val="0"/>
          <w:sz w:val="22"/>
        </w:rPr>
        <w:t xml:space="preserve">    3.1 Landing / Login Page</w:t>
      </w:r>
    </w:p>
    <w:p>
      <w:r>
        <w:rPr>
          <w:b w:val="0"/>
          <w:i w:val="0"/>
          <w:sz w:val="22"/>
        </w:rPr>
        <w:t xml:space="preserve">    3.2 Sign-Up &amp; Authentication Flow</w:t>
      </w:r>
    </w:p>
    <w:p>
      <w:r>
        <w:rPr>
          <w:b w:val="0"/>
          <w:i w:val="0"/>
          <w:sz w:val="22"/>
        </w:rPr>
        <w:t xml:space="preserve">    3.3 Onboarding (Multi-Step)</w:t>
      </w:r>
    </w:p>
    <w:p>
      <w:r>
        <w:rPr>
          <w:b w:val="0"/>
          <w:i w:val="0"/>
          <w:sz w:val="22"/>
        </w:rPr>
        <w:t xml:space="preserve">    3.4 Dashboard</w:t>
      </w:r>
    </w:p>
    <w:p>
      <w:r>
        <w:rPr>
          <w:b w:val="0"/>
          <w:i w:val="0"/>
          <w:sz w:val="22"/>
        </w:rPr>
        <w:t xml:space="preserve">    3.5 Courses Page</w:t>
      </w:r>
    </w:p>
    <w:p>
      <w:r>
        <w:rPr>
          <w:b w:val="0"/>
          <w:i w:val="0"/>
          <w:sz w:val="22"/>
        </w:rPr>
        <w:t xml:space="preserve">    3.6 Daily Log / Wellness Tracker</w:t>
      </w:r>
    </w:p>
    <w:p>
      <w:r>
        <w:rPr>
          <w:b w:val="0"/>
          <w:i w:val="0"/>
          <w:sz w:val="22"/>
        </w:rPr>
        <w:t xml:space="preserve">    3.7 Settings</w:t>
      </w:r>
    </w:p>
    <w:p>
      <w:r>
        <w:rPr>
          <w:b w:val="0"/>
          <w:i w:val="0"/>
          <w:sz w:val="22"/>
        </w:rPr>
        <w:t>4. Key Features Deep Dive</w:t>
      </w:r>
    </w:p>
    <w:p>
      <w:r>
        <w:rPr>
          <w:b w:val="0"/>
          <w:i w:val="0"/>
          <w:sz w:val="22"/>
        </w:rPr>
        <w:t>5. Subscription Model</w:t>
      </w:r>
    </w:p>
    <w:p>
      <w:r>
        <w:rPr>
          <w:b w:val="0"/>
          <w:i w:val="0"/>
          <w:sz w:val="22"/>
        </w:rPr>
        <w:t>6. Backend Architecture</w:t>
      </w:r>
    </w:p>
    <w:p>
      <w:r>
        <w:rPr>
          <w:b w:val="0"/>
          <w:i w:val="0"/>
          <w:sz w:val="22"/>
        </w:rPr>
        <w:t>7. Design System</w:t>
      </w:r>
    </w:p>
    <w:p>
      <w:r>
        <w:rPr>
          <w:b w:val="0"/>
          <w:i w:val="0"/>
          <w:sz w:val="22"/>
        </w:rPr>
        <w:t>8. Future Roadmap</w:t>
      </w:r>
    </w:p>
    <w:p>
      <w:r>
        <w:br w:type="page"/>
      </w:r>
    </w:p>
    <w:p>
      <w:pPr>
        <w:pStyle w:val="Heading1"/>
      </w:pPr>
      <w:r>
        <w:t>1. Executive Summary</w:t>
      </w:r>
    </w:p>
    <w:p>
      <w:r>
        <w:rPr>
          <w:b w:val="0"/>
          <w:i w:val="0"/>
        </w:rPr>
        <w:t>Acad is an academic comeback conditioning platform designed for university students who need structured, time-bound academic recovery between semesters. Unlike generic study tools or passive lecture platforms, Acad adapts its entire toolkit to the student's available time window, course load, and academic history.</w:t>
      </w:r>
    </w:p>
    <w:p>
      <w:pPr>
        <w:pStyle w:val="Heading2"/>
      </w:pPr>
      <w:r>
        <w:t>Who It Is For</w:t>
      </w:r>
    </w:p>
    <w:p>
      <w:pPr>
        <w:pStyle w:val="ListBullet"/>
      </w:pPr>
      <w:r>
        <w:t>University students on academic break or between commitments</w:t>
      </w:r>
    </w:p>
    <w:p>
      <w:pPr>
        <w:pStyle w:val="ListBullet"/>
      </w:pPr>
      <w:r>
        <w:t>Students who need to recover course material, improve grades, or build foundational knowledge</w:t>
      </w:r>
    </w:p>
    <w:p>
      <w:pPr>
        <w:pStyle w:val="ListBullet"/>
      </w:pPr>
      <w:r>
        <w:t>Students from Level 100 (first year) through Level 400 (final year)</w:t>
      </w:r>
    </w:p>
    <w:p>
      <w:pPr>
        <w:pStyle w:val="ListBullet"/>
      </w:pPr>
      <w:r>
        <w:t>Students who want their academic data to compound over semesters into richer analytics</w:t>
      </w:r>
    </w:p>
    <w:p>
      <w:pPr>
        <w:pStyle w:val="Heading2"/>
      </w:pPr>
      <w:r>
        <w:t>Core Value Proposition</w:t>
      </w:r>
    </w:p>
    <w:p>
      <w:r>
        <w:rPr>
          <w:b w:val="0"/>
          <w:i w:val="0"/>
        </w:rPr>
        <w:t>Academic data compounds over semesters. Acad is built on the principle that every semester you log (grades, courses, mastery levels) enriches every subsequent semester's insights. A student who starts logging from Level 100 accumulates four years of trend data, improvement patterns, and personalized recommendations. This compounding effect is unique to Acad.</w:t>
      </w:r>
    </w:p>
    <w:p>
      <w:pPr>
        <w:pStyle w:val="Heading2"/>
      </w:pPr>
      <w:r>
        <w:t>Subscription Model Overview</w:t>
      </w:r>
    </w:p>
    <w:p>
      <w:r>
        <w:rPr>
          <w:b w:val="0"/>
          <w:i w:val="0"/>
        </w:rPr>
        <w:t>Acad operates on a 3-month subscription plan. The duration a student selects (2-3 weeks, 1 month, 2 months, or 3 months) determines their course capacity and which tools are unlocked. Shorter windows are intentionally leaner, designed to prevent overwhelm. The full toolkit unlocks at the 3-month tier.</w:t>
      </w:r>
    </w:p>
    <w:p>
      <w:r>
        <w:br w:type="page"/>
      </w:r>
    </w:p>
    <w:p>
      <w:pPr>
        <w:pStyle w:val="Heading1"/>
      </w:pPr>
      <w:r>
        <w:t>2. Tech Stack Overview</w:t>
      </w:r>
    </w:p>
    <w:p>
      <w:r>
        <w:rPr>
          <w:b/>
          <w:sz w:val="24"/>
        </w:rPr>
        <w:t>Technology Stack</w:t>
      </w:r>
    </w:p>
    <w:tbl>
      <w:tblPr>
        <w:tblStyle w:val="LightGrid-Accent1"/>
        <w:tblW w:type="auto" w:w="0"/>
        <w:jc w:val="center"/>
        <w:tblLook w:firstColumn="1" w:firstRow="1" w:lastColumn="0" w:lastRow="0" w:noHBand="0" w:noVBand="1" w:val="04A0"/>
      </w:tblPr>
      <w:tblGrid>
        <w:gridCol w:w="3120"/>
        <w:gridCol w:w="3120"/>
        <w:gridCol w:w="3120"/>
      </w:tblGrid>
      <w:tr>
        <w:tc>
          <w:tcPr>
            <w:tcW w:type="dxa" w:w="2551"/>
            <w:shd w:fill="14B8A6" w:val="clear"/>
          </w:tcPr>
          <w:p>
            <w:pPr>
              <w:jc w:val="center"/>
            </w:pPr>
            <w:r>
              <w:rPr>
                <w:b/>
                <w:color w:val="FFFFFF"/>
                <w:sz w:val="20"/>
              </w:rPr>
              <w:t>Layer</w:t>
            </w:r>
          </w:p>
        </w:tc>
        <w:tc>
          <w:tcPr>
            <w:tcW w:type="dxa" w:w="2551"/>
            <w:shd w:fill="14B8A6" w:val="clear"/>
          </w:tcPr>
          <w:p>
            <w:pPr>
              <w:jc w:val="center"/>
            </w:pPr>
            <w:r>
              <w:rPr>
                <w:b/>
                <w:color w:val="FFFFFF"/>
                <w:sz w:val="20"/>
              </w:rPr>
              <w:t>Technology</w:t>
            </w:r>
          </w:p>
        </w:tc>
        <w:tc>
          <w:tcPr>
            <w:tcW w:type="dxa" w:w="3969"/>
            <w:shd w:fill="14B8A6" w:val="clear"/>
          </w:tcPr>
          <w:p>
            <w:pPr>
              <w:jc w:val="center"/>
            </w:pPr>
            <w:r>
              <w:rPr>
                <w:b/>
                <w:color w:val="FFFFFF"/>
                <w:sz w:val="20"/>
              </w:rPr>
              <w:t>Version / Details</w:t>
            </w:r>
          </w:p>
        </w:tc>
      </w:tr>
      <w:tr>
        <w:tc>
          <w:tcPr>
            <w:tcW w:type="dxa" w:w="2551"/>
          </w:tcPr>
          <w:p>
            <w:r>
              <w:rPr>
                <w:sz w:val="20"/>
              </w:rPr>
              <w:t>Frontend Framework</w:t>
            </w:r>
          </w:p>
        </w:tc>
        <w:tc>
          <w:tcPr>
            <w:tcW w:type="dxa" w:w="2551"/>
          </w:tcPr>
          <w:p>
            <w:r>
              <w:rPr>
                <w:sz w:val="20"/>
              </w:rPr>
              <w:t>React</w:t>
            </w:r>
          </w:p>
        </w:tc>
        <w:tc>
          <w:tcPr>
            <w:tcW w:type="dxa" w:w="3969"/>
          </w:tcPr>
          <w:p>
            <w:r>
              <w:rPr>
                <w:sz w:val="20"/>
              </w:rPr>
              <w:t>v19.2.5 (with Vite 8.0.10)</w:t>
            </w:r>
          </w:p>
        </w:tc>
      </w:tr>
      <w:tr>
        <w:tc>
          <w:tcPr>
            <w:tcW w:type="dxa" w:w="2551"/>
          </w:tcPr>
          <w:p>
            <w:r>
              <w:rPr>
                <w:sz w:val="20"/>
              </w:rPr>
              <w:t>Build Tool</w:t>
            </w:r>
          </w:p>
        </w:tc>
        <w:tc>
          <w:tcPr>
            <w:tcW w:type="dxa" w:w="2551"/>
          </w:tcPr>
          <w:p>
            <w:r>
              <w:rPr>
                <w:sz w:val="20"/>
              </w:rPr>
              <w:t>Vite</w:t>
            </w:r>
          </w:p>
        </w:tc>
        <w:tc>
          <w:tcPr>
            <w:tcW w:type="dxa" w:w="3969"/>
          </w:tcPr>
          <w:p>
            <w:r>
              <w:rPr>
                <w:sz w:val="20"/>
              </w:rPr>
              <w:t>v8.0.10 + @vitejs/plugin-react</w:t>
            </w:r>
          </w:p>
        </w:tc>
      </w:tr>
      <w:tr>
        <w:tc>
          <w:tcPr>
            <w:tcW w:type="dxa" w:w="2551"/>
          </w:tcPr>
          <w:p>
            <w:r>
              <w:rPr>
                <w:sz w:val="20"/>
              </w:rPr>
              <w:t>Language</w:t>
            </w:r>
          </w:p>
        </w:tc>
        <w:tc>
          <w:tcPr>
            <w:tcW w:type="dxa" w:w="2551"/>
          </w:tcPr>
          <w:p>
            <w:r>
              <w:rPr>
                <w:sz w:val="20"/>
              </w:rPr>
              <w:t>JavaScript (JSX/ESM)</w:t>
            </w:r>
          </w:p>
        </w:tc>
        <w:tc>
          <w:tcPr>
            <w:tcW w:type="dxa" w:w="3969"/>
          </w:tcPr>
          <w:p>
            <w:r>
              <w:rPr>
                <w:sz w:val="20"/>
              </w:rPr>
              <w:t>Strict Mode enabled</w:t>
            </w:r>
          </w:p>
        </w:tc>
      </w:tr>
      <w:tr>
        <w:tc>
          <w:tcPr>
            <w:tcW w:type="dxa" w:w="2551"/>
          </w:tcPr>
          <w:p>
            <w:r>
              <w:rPr>
                <w:sz w:val="20"/>
              </w:rPr>
              <w:t>Styling</w:t>
            </w:r>
          </w:p>
        </w:tc>
        <w:tc>
          <w:tcPr>
            <w:tcW w:type="dxa" w:w="2551"/>
          </w:tcPr>
          <w:p>
            <w:r>
              <w:rPr>
                <w:sz w:val="20"/>
              </w:rPr>
              <w:t>CSS Custom Properties</w:t>
            </w:r>
          </w:p>
        </w:tc>
        <w:tc>
          <w:tcPr>
            <w:tcW w:type="dxa" w:w="3969"/>
          </w:tcPr>
          <w:p>
            <w:r>
              <w:rPr>
                <w:sz w:val="20"/>
              </w:rPr>
              <w:t>3 themes: twilight, dawn, dusk</w:t>
            </w:r>
          </w:p>
        </w:tc>
      </w:tr>
      <w:tr>
        <w:tc>
          <w:tcPr>
            <w:tcW w:type="dxa" w:w="2551"/>
          </w:tcPr>
          <w:p>
            <w:r>
              <w:rPr>
                <w:sz w:val="20"/>
              </w:rPr>
              <w:t>Icons</w:t>
            </w:r>
          </w:p>
        </w:tc>
        <w:tc>
          <w:tcPr>
            <w:tcW w:type="dxa" w:w="2551"/>
          </w:tcPr>
          <w:p>
            <w:r>
              <w:rPr>
                <w:sz w:val="20"/>
              </w:rPr>
              <w:t>Lucide React</w:t>
            </w:r>
          </w:p>
        </w:tc>
        <w:tc>
          <w:tcPr>
            <w:tcW w:type="dxa" w:w="3969"/>
          </w:tcPr>
          <w:p>
            <w:r>
              <w:rPr>
                <w:sz w:val="20"/>
              </w:rPr>
              <w:t>v1.12.0</w:t>
            </w:r>
          </w:p>
        </w:tc>
      </w:tr>
      <w:tr>
        <w:tc>
          <w:tcPr>
            <w:tcW w:type="dxa" w:w="2551"/>
          </w:tcPr>
          <w:p>
            <w:r>
              <w:rPr>
                <w:sz w:val="20"/>
              </w:rPr>
              <w:t>Charts</w:t>
            </w:r>
          </w:p>
        </w:tc>
        <w:tc>
          <w:tcPr>
            <w:tcW w:type="dxa" w:w="2551"/>
          </w:tcPr>
          <w:p>
            <w:r>
              <w:rPr>
                <w:sz w:val="20"/>
              </w:rPr>
              <w:t>Chart.js</w:t>
            </w:r>
          </w:p>
        </w:tc>
        <w:tc>
          <w:tcPr>
            <w:tcW w:type="dxa" w:w="3969"/>
          </w:tcPr>
          <w:p>
            <w:r>
              <w:rPr>
                <w:sz w:val="20"/>
              </w:rPr>
              <w:t>v4.5.1 (RadarChart component)</w:t>
            </w:r>
          </w:p>
        </w:tc>
      </w:tr>
      <w:tr>
        <w:tc>
          <w:tcPr>
            <w:tcW w:type="dxa" w:w="2551"/>
          </w:tcPr>
          <w:p>
            <w:r>
              <w:rPr>
                <w:sz w:val="20"/>
              </w:rPr>
              <w:t>Markdown</w:t>
            </w:r>
          </w:p>
        </w:tc>
        <w:tc>
          <w:tcPr>
            <w:tcW w:type="dxa" w:w="2551"/>
          </w:tcPr>
          <w:p>
            <w:r>
              <w:rPr>
                <w:sz w:val="20"/>
              </w:rPr>
              <w:t>Marked</w:t>
            </w:r>
          </w:p>
        </w:tc>
        <w:tc>
          <w:tcPr>
            <w:tcW w:type="dxa" w:w="3969"/>
          </w:tcPr>
          <w:p>
            <w:r>
              <w:rPr>
                <w:sz w:val="20"/>
              </w:rPr>
              <w:t>v18.0.2</w:t>
            </w:r>
          </w:p>
        </w:tc>
      </w:tr>
      <w:tr>
        <w:tc>
          <w:tcPr>
            <w:tcW w:type="dxa" w:w="2551"/>
          </w:tcPr>
          <w:p>
            <w:r>
              <w:rPr>
                <w:sz w:val="20"/>
              </w:rPr>
              <w:t>Confetti</w:t>
            </w:r>
          </w:p>
        </w:tc>
        <w:tc>
          <w:tcPr>
            <w:tcW w:type="dxa" w:w="2551"/>
          </w:tcPr>
          <w:p>
            <w:r>
              <w:rPr>
                <w:sz w:val="20"/>
              </w:rPr>
              <w:t>canvas-confetti</w:t>
            </w:r>
          </w:p>
        </w:tc>
        <w:tc>
          <w:tcPr>
            <w:tcW w:type="dxa" w:w="3969"/>
          </w:tcPr>
          <w:p>
            <w:r>
              <w:rPr>
                <w:sz w:val="20"/>
              </w:rPr>
              <w:t>v1.9.4 (achievement celebrations)</w:t>
            </w:r>
          </w:p>
        </w:tc>
      </w:tr>
      <w:tr>
        <w:tc>
          <w:tcPr>
            <w:tcW w:type="dxa" w:w="2551"/>
          </w:tcPr>
          <w:p>
            <w:r>
              <w:rPr>
                <w:sz w:val="20"/>
              </w:rPr>
              <w:t>Backend (BaaS)</w:t>
            </w:r>
          </w:p>
        </w:tc>
        <w:tc>
          <w:tcPr>
            <w:tcW w:type="dxa" w:w="2551"/>
          </w:tcPr>
          <w:p>
            <w:r>
              <w:rPr>
                <w:sz w:val="20"/>
              </w:rPr>
              <w:t>Supabase</w:t>
            </w:r>
          </w:p>
        </w:tc>
        <w:tc>
          <w:tcPr>
            <w:tcW w:type="dxa" w:w="3969"/>
          </w:tcPr>
          <w:p>
            <w:r>
              <w:rPr>
                <w:sz w:val="20"/>
              </w:rPr>
              <w:t>@supabase/supabase-js v2.108.2</w:t>
            </w:r>
          </w:p>
        </w:tc>
      </w:tr>
      <w:tr>
        <w:tc>
          <w:tcPr>
            <w:tcW w:type="dxa" w:w="2551"/>
          </w:tcPr>
          <w:p>
            <w:r>
              <w:rPr>
                <w:sz w:val="20"/>
              </w:rPr>
              <w:t>Database</w:t>
            </w:r>
          </w:p>
        </w:tc>
        <w:tc>
          <w:tcPr>
            <w:tcW w:type="dxa" w:w="2551"/>
          </w:tcPr>
          <w:p>
            <w:r>
              <w:rPr>
                <w:sz w:val="20"/>
              </w:rPr>
              <w:t>PostgreSQL (via Supabase)</w:t>
            </w:r>
          </w:p>
        </w:tc>
        <w:tc>
          <w:tcPr>
            <w:tcW w:type="dxa" w:w="3969"/>
          </w:tcPr>
          <w:p>
            <w:r>
              <w:rPr>
                <w:sz w:val="20"/>
              </w:rPr>
              <w:t>RLS-enabled, per-user JSON buckets</w:t>
            </w:r>
          </w:p>
        </w:tc>
      </w:tr>
      <w:tr>
        <w:tc>
          <w:tcPr>
            <w:tcW w:type="dxa" w:w="2551"/>
          </w:tcPr>
          <w:p>
            <w:r>
              <w:rPr>
                <w:sz w:val="20"/>
              </w:rPr>
              <w:t>Auth</w:t>
            </w:r>
          </w:p>
        </w:tc>
        <w:tc>
          <w:tcPr>
            <w:tcW w:type="dxa" w:w="2551"/>
          </w:tcPr>
          <w:p>
            <w:r>
              <w:rPr>
                <w:sz w:val="20"/>
              </w:rPr>
              <w:t>Supabase Auth</w:t>
            </w:r>
          </w:p>
        </w:tc>
        <w:tc>
          <w:tcPr>
            <w:tcW w:type="dxa" w:w="3969"/>
          </w:tcPr>
          <w:p>
            <w:r>
              <w:rPr>
                <w:sz w:val="20"/>
              </w:rPr>
              <w:t>Email/password, session persistence, auto-refresh</w:t>
            </w:r>
          </w:p>
        </w:tc>
      </w:tr>
      <w:tr>
        <w:tc>
          <w:tcPr>
            <w:tcW w:type="dxa" w:w="2551"/>
          </w:tcPr>
          <w:p>
            <w:r>
              <w:rPr>
                <w:sz w:val="20"/>
              </w:rPr>
              <w:t>Edge Functions</w:t>
            </w:r>
          </w:p>
        </w:tc>
        <w:tc>
          <w:tcPr>
            <w:tcW w:type="dxa" w:w="2551"/>
          </w:tcPr>
          <w:p>
            <w:r>
              <w:rPr>
                <w:sz w:val="20"/>
              </w:rPr>
              <w:t>Supabase/Deno Deploy</w:t>
            </w:r>
          </w:p>
        </w:tc>
        <w:tc>
          <w:tcPr>
            <w:tcW w:type="dxa" w:w="3969"/>
          </w:tcPr>
          <w:p>
            <w:r>
              <w:rPr>
                <w:sz w:val="20"/>
              </w:rPr>
              <w:t>TypeScript, Deno runtime</w:t>
            </w:r>
          </w:p>
        </w:tc>
      </w:tr>
      <w:tr>
        <w:tc>
          <w:tcPr>
            <w:tcW w:type="dxa" w:w="2551"/>
          </w:tcPr>
          <w:p>
            <w:r>
              <w:rPr>
                <w:sz w:val="20"/>
              </w:rPr>
              <w:t>AI Providers</w:t>
            </w:r>
          </w:p>
        </w:tc>
        <w:tc>
          <w:tcPr>
            <w:tcW w:type="dxa" w:w="2551"/>
          </w:tcPr>
          <w:p>
            <w:r>
              <w:rPr>
                <w:sz w:val="20"/>
              </w:rPr>
              <w:t>DeepSeek / OpenAI</w:t>
            </w:r>
          </w:p>
        </w:tc>
        <w:tc>
          <w:tcPr>
            <w:tcW w:type="dxa" w:w="3969"/>
          </w:tcPr>
          <w:p>
            <w:r>
              <w:rPr>
                <w:sz w:val="20"/>
              </w:rPr>
              <w:t>Configurable via Supabase secrets</w:t>
            </w:r>
          </w:p>
        </w:tc>
      </w:tr>
      <w:tr>
        <w:tc>
          <w:tcPr>
            <w:tcW w:type="dxa" w:w="2551"/>
          </w:tcPr>
          <w:p>
            <w:r>
              <w:rPr>
                <w:sz w:val="20"/>
              </w:rPr>
              <w:t>Catalogue Matching</w:t>
            </w:r>
          </w:p>
        </w:tc>
        <w:tc>
          <w:tcPr>
            <w:tcW w:type="dxa" w:w="2551"/>
          </w:tcPr>
          <w:p>
            <w:r>
              <w:rPr>
                <w:sz w:val="20"/>
              </w:rPr>
              <w:t>Local JSON catalogue</w:t>
            </w:r>
          </w:p>
        </w:tc>
        <w:tc>
          <w:tcPr>
            <w:tcW w:type="dxa" w:w="3969"/>
          </w:tcPr>
          <w:p>
            <w:r>
              <w:rPr>
                <w:sz w:val="20"/>
              </w:rPr>
              <w:t>UG-Ghana preloaded course data</w:t>
            </w:r>
          </w:p>
        </w:tc>
      </w:tr>
      <w:tr>
        <w:tc>
          <w:tcPr>
            <w:tcW w:type="dxa" w:w="2551"/>
          </w:tcPr>
          <w:p>
            <w:r>
              <w:rPr>
                <w:sz w:val="20"/>
              </w:rPr>
              <w:t>Deployment</w:t>
            </w:r>
          </w:p>
        </w:tc>
        <w:tc>
          <w:tcPr>
            <w:tcW w:type="dxa" w:w="2551"/>
          </w:tcPr>
          <w:p>
            <w:r>
              <w:rPr>
                <w:sz w:val="20"/>
              </w:rPr>
              <w:t>Netlify</w:t>
            </w:r>
          </w:p>
        </w:tc>
        <w:tc>
          <w:tcPr>
            <w:tcW w:type="dxa" w:w="3969"/>
          </w:tcPr>
          <w:p>
            <w:r>
              <w:rPr>
                <w:sz w:val="20"/>
              </w:rPr>
              <w:t>SPA hosting + serverless functions</w:t>
            </w:r>
          </w:p>
        </w:tc>
      </w:tr>
      <w:tr>
        <w:tc>
          <w:tcPr>
            <w:tcW w:type="dxa" w:w="2551"/>
          </w:tcPr>
          <w:p>
            <w:r>
              <w:rPr>
                <w:sz w:val="20"/>
              </w:rPr>
              <w:t>CI/CD</w:t>
            </w:r>
          </w:p>
        </w:tc>
        <w:tc>
          <w:tcPr>
            <w:tcW w:type="dxa" w:w="2551"/>
          </w:tcPr>
          <w:p>
            <w:r>
              <w:rPr>
                <w:sz w:val="20"/>
              </w:rPr>
              <w:t>GitHub Actions</w:t>
            </w:r>
          </w:p>
        </w:tc>
        <w:tc>
          <w:tcPr>
            <w:tcW w:type="dxa" w:w="3969"/>
          </w:tcPr>
          <w:p>
            <w:r>
              <w:rPr>
                <w:sz w:val="20"/>
              </w:rPr>
              <w:t>ci.yml + deploy-staging.yml</w:t>
            </w:r>
          </w:p>
        </w:tc>
      </w:tr>
      <w:tr>
        <w:tc>
          <w:tcPr>
            <w:tcW w:type="dxa" w:w="2551"/>
          </w:tcPr>
          <w:p>
            <w:r>
              <w:rPr>
                <w:sz w:val="20"/>
              </w:rPr>
              <w:t>Linting</w:t>
            </w:r>
          </w:p>
        </w:tc>
        <w:tc>
          <w:tcPr>
            <w:tcW w:type="dxa" w:w="2551"/>
          </w:tcPr>
          <w:p>
            <w:r>
              <w:rPr>
                <w:sz w:val="20"/>
              </w:rPr>
              <w:t>ESLint</w:t>
            </w:r>
          </w:p>
        </w:tc>
        <w:tc>
          <w:tcPr>
            <w:tcW w:type="dxa" w:w="3969"/>
          </w:tcPr>
          <w:p>
            <w:r>
              <w:rPr>
                <w:sz w:val="20"/>
              </w:rPr>
              <w:t>v10.2.1 with React plugins</w:t>
            </w:r>
          </w:p>
        </w:tc>
      </w:tr>
    </w:tbl>
    <w:p/>
    <w:p>
      <w:pPr>
        <w:pStyle w:val="Heading2"/>
      </w:pPr>
      <w:r>
        <w:t>Architecture Diagram (Textual)</w:t>
      </w:r>
    </w:p>
    <w:p>
      <w:r>
        <w:rPr>
          <w:b w:val="0"/>
          <w:i w:val="0"/>
        </w:rPr>
        <w:t>The application follows a single-page application (SPA) architecture with Supabase as the backend-as-a-service. All state is managed through React Context providers wrapped in a cascading hierarchy (Theme &gt; Auth &gt; Game &gt; Courses &gt; FlashcardMasteryBridge &gt; Habits &gt; StudyGroups &gt; Semesters). Data is persisted both locally (localStorage JSON buckets) and in the cloud (Supabase user_data table with per-user + per-bucket RLS). AI-powered features (academic profile learning, study buddy) use Supabase Edge Functions that call the DeepSeek or OpenAI API, grounding responses against an official course catalogue when available.</w:t>
      </w:r>
    </w:p>
    <w:p>
      <w:r>
        <w:br w:type="page"/>
      </w:r>
    </w:p>
    <w:p>
      <w:pPr>
        <w:pStyle w:val="Heading1"/>
      </w:pPr>
      <w:r>
        <w:t>3. Page-by-Page Breakdown</w:t>
      </w:r>
    </w:p>
    <w:p>
      <w:pPr>
        <w:pStyle w:val="Heading2"/>
      </w:pPr>
      <w:r>
        <w:t>3.1 Landing / Login Page</w:t>
      </w:r>
    </w:p>
    <w:p>
      <w:r>
        <w:rPr>
          <w:b/>
          <w:sz w:val="24"/>
        </w:rPr>
        <w:t>Landing Page Overview</w:t>
      </w:r>
    </w:p>
    <w:tbl>
      <w:tblPr>
        <w:tblStyle w:val="LightGrid-Accent1"/>
        <w:tblW w:type="auto" w:w="0"/>
        <w:jc w:val="center"/>
        <w:tblLook w:firstColumn="1" w:firstRow="1" w:lastColumn="0" w:lastRow="0" w:noHBand="0" w:noVBand="1" w:val="04A0"/>
      </w:tblPr>
      <w:tblGrid>
        <w:gridCol w:w="4680"/>
        <w:gridCol w:w="4680"/>
      </w:tblGrid>
      <w:tr>
        <w:tc>
          <w:tcPr>
            <w:tcW w:type="dxa" w:w="2268"/>
            <w:shd w:fill="14B8A6" w:val="clear"/>
          </w:tcPr>
          <w:p>
            <w:pPr>
              <w:jc w:val="center"/>
            </w:pPr>
            <w:r>
              <w:rPr>
                <w:b/>
                <w:color w:val="FFFFFF"/>
                <w:sz w:val="20"/>
              </w:rPr>
              <w:t>Attribute</w:t>
            </w:r>
          </w:p>
        </w:tc>
        <w:tc>
          <w:tcPr>
            <w:tcW w:type="dxa" w:w="6803"/>
            <w:shd w:fill="14B8A6" w:val="clear"/>
          </w:tcPr>
          <w:p>
            <w:pPr>
              <w:jc w:val="center"/>
            </w:pPr>
            <w:r>
              <w:rPr>
                <w:b/>
                <w:color w:val="FFFFFF"/>
                <w:sz w:val="20"/>
              </w:rPr>
              <w:t>Detail</w:t>
            </w:r>
          </w:p>
        </w:tc>
      </w:tr>
      <w:tr>
        <w:tc>
          <w:tcPr>
            <w:tcW w:type="dxa" w:w="2268"/>
          </w:tcPr>
          <w:p>
            <w:r>
              <w:rPr>
                <w:sz w:val="20"/>
              </w:rPr>
              <w:t>Route</w:t>
            </w:r>
          </w:p>
        </w:tc>
        <w:tc>
          <w:tcPr>
            <w:tcW w:type="dxa" w:w="6803"/>
          </w:tcPr>
          <w:p>
            <w:r>
              <w:rPr>
                <w:sz w:val="20"/>
              </w:rPr>
              <w:t>landing (default for non-authenticated users)</w:t>
            </w:r>
          </w:p>
        </w:tc>
      </w:tr>
      <w:tr>
        <w:tc>
          <w:tcPr>
            <w:tcW w:type="dxa" w:w="2268"/>
          </w:tcPr>
          <w:p>
            <w:r>
              <w:rPr>
                <w:sz w:val="20"/>
              </w:rPr>
              <w:t>Purpose</w:t>
            </w:r>
          </w:p>
        </w:tc>
        <w:tc>
          <w:tcPr>
            <w:tcW w:type="dxa" w:w="6803"/>
          </w:tcPr>
          <w:p>
            <w:r>
              <w:rPr>
                <w:sz w:val="20"/>
              </w:rPr>
              <w:t>Introduce the platform and allow pre-account plan configuration</w:t>
            </w:r>
          </w:p>
        </w:tc>
      </w:tr>
      <w:tr>
        <w:tc>
          <w:tcPr>
            <w:tcW w:type="dxa" w:w="2268"/>
          </w:tcPr>
          <w:p>
            <w:r>
              <w:rPr>
                <w:sz w:val="20"/>
              </w:rPr>
              <w:t>Auth Required</w:t>
            </w:r>
          </w:p>
        </w:tc>
        <w:tc>
          <w:tcPr>
            <w:tcW w:type="dxa" w:w="6803"/>
          </w:tcPr>
          <w:p>
            <w:r>
              <w:rPr>
                <w:sz w:val="20"/>
              </w:rPr>
              <w:t>No</w:t>
            </w:r>
          </w:p>
        </w:tc>
      </w:tr>
    </w:tbl>
    <w:p/>
    <w:p>
      <w:pPr>
        <w:pStyle w:val="Heading3"/>
      </w:pPr>
      <w:r>
        <w:t>Purpose</w:t>
      </w:r>
    </w:p>
    <w:p>
      <w:r>
        <w:rPr>
          <w:b w:val="0"/>
          <w:i w:val="0"/>
        </w:rPr>
        <w:t>The landing page serves as a marketing and pre-signup configuration hub. Before creating an account, users can shape their comeback window by selecting a duration and intention. This pre-account configuration is saved to localStorage via setPreAccountPrefs() and carried into the authentication and onboarding flows. The page also previews the plan that will be created.</w:t>
      </w:r>
    </w:p>
    <w:p>
      <w:pPr>
        <w:pStyle w:val="Heading3"/>
      </w:pPr>
      <w:r>
        <w:t>Key Components</w:t>
      </w:r>
    </w:p>
    <w:p>
      <w:pPr>
        <w:pStyle w:val="ListBullet"/>
      </w:pPr>
      <w:r>
        <w:t>Hero Section — animated task panel preview showing a mock Dashboard, plan headline, and CTAs</w:t>
      </w:r>
    </w:p>
    <w:p>
      <w:pPr>
        <w:pStyle w:val="ListBullet"/>
      </w:pPr>
      <w:r>
        <w:t>Plan Shaper Form — radio button groups for duration (2-3 weeks / 1 month / 2 months / 3 months), intention ("Catch up on course material" through "Rebuild study discipline"), and student path (Just starting vs. Already in programme)</w:t>
      </w:r>
    </w:p>
    <w:p>
      <w:pPr>
        <w:pStyle w:val="ListBullet"/>
      </w:pPr>
      <w:r>
        <w:t>Plan Preview Card — dynamically shows max courses, enabled tools, and advance-semester rule based on selected duration</w:t>
      </w:r>
    </w:p>
    <w:p>
      <w:pPr>
        <w:pStyle w:val="ListBullet"/>
      </w:pPr>
      <w:r>
        <w:t>Feature Grid — 5 feature cards (Courses, Flashcards, Wellness, Reports, Projects) with icons</w:t>
      </w:r>
    </w:p>
    <w:p>
      <w:pPr>
        <w:pStyle w:val="ListBullet"/>
      </w:pPr>
      <w:r>
        <w:t>Tier Comparison — 4-column tier overview showing how plan scales from weeks to months</w:t>
      </w:r>
    </w:p>
    <w:p>
      <w:pPr>
        <w:pStyle w:val="ListBullet"/>
      </w:pPr>
      <w:r>
        <w:t>Before/After Comparison — "Without a plan" vs. "With Acad" side-by-side cards</w:t>
      </w:r>
    </w:p>
    <w:p>
      <w:pPr>
        <w:pStyle w:val="ListBullet"/>
      </w:pPr>
      <w:r>
        <w:t>Footer — brand mark, Privacy/Terms links, copyright</w:t>
      </w:r>
    </w:p>
    <w:p>
      <w:pPr>
        <w:pStyle w:val="Heading3"/>
      </w:pPr>
      <w:r>
        <w:t>User Flow</w:t>
      </w:r>
    </w:p>
    <w:p>
      <w:pPr>
        <w:pStyle w:val="ListNumber"/>
      </w:pPr>
      <w:r>
        <w:t>User lands on the hero section and reads the value proposition</w:t>
      </w:r>
    </w:p>
    <w:p>
      <w:pPr>
        <w:pStyle w:val="ListNumber"/>
      </w:pPr>
      <w:r>
        <w:t>Scrolls to the plan shaper and selects duration, intention, and student path</w:t>
      </w:r>
    </w:p>
    <w:p>
      <w:pPr>
        <w:pStyle w:val="ListNumber"/>
      </w:pPr>
      <w:r>
        <w:t>Plan preview card updates in real-time</w:t>
      </w:r>
    </w:p>
    <w:p>
      <w:pPr>
        <w:pStyle w:val="ListNumber"/>
      </w:pPr>
      <w:r>
        <w:t>Clicks "Start your plan" or "Create account" — prefs saved to localStorage</w:t>
      </w:r>
    </w:p>
    <w:p>
      <w:pPr>
        <w:pStyle w:val="ListNumber"/>
      </w:pPr>
      <w:r>
        <w:t>Navigated to the Auth page in signup mode</w:t>
      </w:r>
    </w:p>
    <w:p>
      <w:pPr>
        <w:pStyle w:val="ListNumber"/>
      </w:pPr>
      <w:r>
        <w:t>Alternatively, clicks "Sign in" for existing accounts</w:t>
      </w:r>
    </w:p>
    <w:p>
      <w:pPr>
        <w:pStyle w:val="Heading3"/>
      </w:pPr>
      <w:r>
        <w:t>State Management</w:t>
      </w:r>
    </w:p>
    <w:p>
      <w:r>
        <w:rPr>
          <w:b w:val="0"/>
          <w:i w:val="0"/>
        </w:rPr>
        <w:t>The landing page uses local React state (useState) for duration, intention, and studentPath. No contexts are involved. Pre-account preferences are persisted via the setPreAccountPrefs() utility, which writes to localStorage under the key acad_pre_account_prefs.</w:t>
      </w:r>
    </w:p>
    <w:p>
      <w:pPr>
        <w:pStyle w:val="Heading2"/>
      </w:pPr>
      <w:r>
        <w:t>3.2 Sign-Up &amp; Authentication Flow</w:t>
      </w:r>
    </w:p>
    <w:p>
      <w:r>
        <w:rPr>
          <w:b/>
          <w:sz w:val="24"/>
        </w:rPr>
        <w:t>Auth Page Overview</w:t>
      </w:r>
    </w:p>
    <w:tbl>
      <w:tblPr>
        <w:tblStyle w:val="LightGrid-Accent1"/>
        <w:tblW w:type="auto" w:w="0"/>
        <w:jc w:val="center"/>
        <w:tblLook w:firstColumn="1" w:firstRow="1" w:lastColumn="0" w:lastRow="0" w:noHBand="0" w:noVBand="1" w:val="04A0"/>
      </w:tblPr>
      <w:tblGrid>
        <w:gridCol w:w="4680"/>
        <w:gridCol w:w="4680"/>
      </w:tblGrid>
      <w:tr>
        <w:tc>
          <w:tcPr>
            <w:tcW w:type="dxa" w:w="2268"/>
            <w:shd w:fill="14B8A6" w:val="clear"/>
          </w:tcPr>
          <w:p>
            <w:pPr>
              <w:jc w:val="center"/>
            </w:pPr>
            <w:r>
              <w:rPr>
                <w:b/>
                <w:color w:val="FFFFFF"/>
                <w:sz w:val="20"/>
              </w:rPr>
              <w:t>Attribute</w:t>
            </w:r>
          </w:p>
        </w:tc>
        <w:tc>
          <w:tcPr>
            <w:tcW w:type="dxa" w:w="6803"/>
            <w:shd w:fill="14B8A6" w:val="clear"/>
          </w:tcPr>
          <w:p>
            <w:pPr>
              <w:jc w:val="center"/>
            </w:pPr>
            <w:r>
              <w:rPr>
                <w:b/>
                <w:color w:val="FFFFFF"/>
                <w:sz w:val="20"/>
              </w:rPr>
              <w:t>Detail</w:t>
            </w:r>
          </w:p>
        </w:tc>
      </w:tr>
      <w:tr>
        <w:tc>
          <w:tcPr>
            <w:tcW w:type="dxa" w:w="2268"/>
          </w:tcPr>
          <w:p>
            <w:r>
              <w:rPr>
                <w:sz w:val="20"/>
              </w:rPr>
              <w:t>Route</w:t>
            </w:r>
          </w:p>
        </w:tc>
        <w:tc>
          <w:tcPr>
            <w:tcW w:type="dxa" w:w="6803"/>
          </w:tcPr>
          <w:p>
            <w:r>
              <w:rPr>
                <w:sz w:val="20"/>
              </w:rPr>
              <w:t>auth (with mode: signup | login)</w:t>
            </w:r>
          </w:p>
        </w:tc>
      </w:tr>
      <w:tr>
        <w:tc>
          <w:tcPr>
            <w:tcW w:type="dxa" w:w="2268"/>
          </w:tcPr>
          <w:p>
            <w:r>
              <w:rPr>
                <w:sz w:val="20"/>
              </w:rPr>
              <w:t>Purpose</w:t>
            </w:r>
          </w:p>
        </w:tc>
        <w:tc>
          <w:tcPr>
            <w:tcW w:type="dxa" w:w="6803"/>
          </w:tcPr>
          <w:p>
            <w:r>
              <w:rPr>
                <w:sz w:val="20"/>
              </w:rPr>
              <w:t>Create a new account or sign in to an existing one</w:t>
            </w:r>
          </w:p>
        </w:tc>
      </w:tr>
      <w:tr>
        <w:tc>
          <w:tcPr>
            <w:tcW w:type="dxa" w:w="2268"/>
          </w:tcPr>
          <w:p>
            <w:r>
              <w:rPr>
                <w:sz w:val="20"/>
              </w:rPr>
              <w:t>Auth Required</w:t>
            </w:r>
          </w:p>
        </w:tc>
        <w:tc>
          <w:tcPr>
            <w:tcW w:type="dxa" w:w="6803"/>
          </w:tcPr>
          <w:p>
            <w:r>
              <w:rPr>
                <w:sz w:val="20"/>
              </w:rPr>
              <w:t>No (entry point for authentication)</w:t>
            </w:r>
          </w:p>
        </w:tc>
      </w:tr>
    </w:tbl>
    <w:p/>
    <w:p>
      <w:pPr>
        <w:pStyle w:val="Heading3"/>
      </w:pPr>
      <w:r>
        <w:t>Purpose</w:t>
      </w:r>
    </w:p>
    <w:p>
      <w:r>
        <w:rPr>
          <w:b w:val="0"/>
          <w:i w:val="0"/>
        </w:rPr>
        <w:t>The Auth page handles both account creation (signup) and sign-in (login). It supports two modes: cloud mode (Supabase Auth with email/password) and local mode (device-only, no backend). Validation ensures passwords are at least 8 characters, names are provided for signup, and terms acceptance is required for cloud accounts. The page gracefully handles network errors, Supabase timeouts, and offline scenarios with user-friendly error messages.</w:t>
      </w:r>
    </w:p>
    <w:p>
      <w:pPr>
        <w:pStyle w:val="Heading3"/>
      </w:pPr>
      <w:r>
        <w:t>Key Features</w:t>
      </w:r>
    </w:p>
    <w:p>
      <w:pPr>
        <w:pStyle w:val="ListBullet"/>
      </w:pPr>
      <w:r>
        <w:t>Dual-tab interface (New account / Sign in) with accessible ARIA roles</w:t>
      </w:r>
    </w:p>
    <w:p>
      <w:pPr>
        <w:pStyle w:val="ListBullet"/>
      </w:pPr>
      <w:r>
        <w:t>Password visibility toggle (show/hide)</w:t>
      </w:r>
    </w:p>
    <w:p>
      <w:pPr>
        <w:pStyle w:val="ListBullet"/>
      </w:pPr>
      <w:r>
        <w:t>Forgot password flow (Supabase resetPasswordForEmail)</w:t>
      </w:r>
    </w:p>
    <w:p>
      <w:pPr>
        <w:pStyle w:val="ListBullet"/>
      </w:pPr>
      <w:r>
        <w:t>Terms acceptance checkbox with inline links to Privacy and Terms pages</w:t>
      </w:r>
    </w:p>
    <w:p>
      <w:pPr>
        <w:pStyle w:val="ListBullet"/>
      </w:pPr>
      <w:r>
        <w:t>8-second timeout race for Supabase session retrieval (prevents infinite loading)</w:t>
      </w:r>
    </w:p>
    <w:p>
      <w:pPr>
        <w:pStyle w:val="ListBullet"/>
      </w:pPr>
      <w:r>
        <w:t>Human-readable error messages for common auth failures (network unreachable, duplicate email, invalid credentials, unconfirmed email)</w:t>
      </w:r>
    </w:p>
    <w:p>
      <w:pPr>
        <w:pStyle w:val="ListBullet"/>
      </w:pPr>
      <w:r>
        <w:t>Local mode fallback — when no Supabase URL is configured, auth works entirely locally with Loader animation</w:t>
      </w:r>
    </w:p>
    <w:p>
      <w:pPr>
        <w:pStyle w:val="Heading3"/>
      </w:pPr>
      <w:r>
        <w:t>User Flow</w:t>
      </w:r>
    </w:p>
    <w:p>
      <w:pPr>
        <w:pStyle w:val="ListNumber"/>
      </w:pPr>
      <w:r>
        <w:t>User selects "New account" or "Sign in" tab</w:t>
      </w:r>
    </w:p>
    <w:p>
      <w:pPr>
        <w:pStyle w:val="ListNumber"/>
      </w:pPr>
      <w:r>
        <w:t>Enters name (signup only), email, and password</w:t>
      </w:r>
    </w:p>
    <w:p>
      <w:pPr>
        <w:pStyle w:val="ListNumber"/>
      </w:pPr>
      <w:r>
        <w:t>For signup: accepts privacy policy and terms checkbox (cloud mode)</w:t>
      </w:r>
    </w:p>
    <w:p>
      <w:pPr>
        <w:pStyle w:val="ListNumber"/>
      </w:pPr>
      <w:r>
        <w:t>Clicks "Create account" or "Sign in"</w:t>
      </w:r>
    </w:p>
    <w:p>
      <w:pPr>
        <w:pStyle w:val="ListNumber"/>
      </w:pPr>
      <w:r>
        <w:t>On success: redirected to onboarding (new users) or dashboard (existing users with profile)</w:t>
      </w:r>
    </w:p>
    <w:p>
      <w:pPr>
        <w:pStyle w:val="ListNumber"/>
      </w:pPr>
      <w:r>
        <w:t>On failure: human-readable error message displayed inline</w:t>
      </w:r>
    </w:p>
    <w:p>
      <w:pPr>
        <w:pStyle w:val="Heading3"/>
      </w:pPr>
      <w:r>
        <w:t>Backend</w:t>
      </w:r>
    </w:p>
    <w:p>
      <w:pPr>
        <w:pStyle w:val="ListBullet"/>
      </w:pPr>
      <w:r>
        <w:t>Supabase Auth: signUp() with user metadata (name), signInWithPassword(), resetPasswordForEmail()</w:t>
      </w:r>
    </w:p>
    <w:p>
      <w:pPr>
        <w:pStyle w:val="ListBullet"/>
      </w:pPr>
      <w:r>
        <w:t>Supabase database trigger (on_auth_user_created) auto-creates profiles and user_data rows</w:t>
      </w:r>
    </w:p>
    <w:p>
      <w:pPr>
        <w:pStyle w:val="ListBullet"/>
      </w:pPr>
      <w:r>
        <w:t>Session persisted via Supabase SDK with persistSession: true and autoRefreshToken: true</w:t>
      </w:r>
    </w:p>
    <w:p>
      <w:pPr>
        <w:pStyle w:val="ListBullet"/>
      </w:pPr>
      <w:r>
        <w:t>8-second timeout with Promise.race() to prevent hung Supabase from blocking the app</w:t>
      </w:r>
    </w:p>
    <w:p>
      <w:pPr>
        <w:pStyle w:val="Heading3"/>
      </w:pPr>
      <w:r>
        <w:t>State Management</w:t>
      </w:r>
    </w:p>
    <w:p>
      <w:pPr>
        <w:pStyle w:val="ListBullet"/>
      </w:pPr>
      <w:r>
        <w:t>AuthContext — manages user, session, authReady flag, and all auth actions</w:t>
      </w:r>
    </w:p>
    <w:p>
      <w:pPr>
        <w:pStyle w:val="ListBullet"/>
      </w:pPr>
      <w:r>
        <w:t>Local React state — form fields, mode, error, info, loading, showPassword</w:t>
      </w:r>
    </w:p>
    <w:p>
      <w:pPr>
        <w:pStyle w:val="Heading2"/>
      </w:pPr>
      <w:r>
        <w:t>3.3 Onboarding (Multi-Step Flow)</w:t>
      </w:r>
    </w:p>
    <w:p>
      <w:r>
        <w:rPr>
          <w:b/>
          <w:sz w:val="24"/>
        </w:rPr>
        <w:t>Onboarding Page Overview</w:t>
      </w:r>
    </w:p>
    <w:tbl>
      <w:tblPr>
        <w:tblStyle w:val="LightGrid-Accent1"/>
        <w:tblW w:type="auto" w:w="0"/>
        <w:jc w:val="center"/>
        <w:tblLook w:firstColumn="1" w:firstRow="1" w:lastColumn="0" w:lastRow="0" w:noHBand="0" w:noVBand="1" w:val="04A0"/>
      </w:tblPr>
      <w:tblGrid>
        <w:gridCol w:w="4680"/>
        <w:gridCol w:w="4680"/>
      </w:tblGrid>
      <w:tr>
        <w:tc>
          <w:tcPr>
            <w:tcW w:type="dxa" w:w="2268"/>
            <w:shd w:fill="14B8A6" w:val="clear"/>
          </w:tcPr>
          <w:p>
            <w:pPr>
              <w:jc w:val="center"/>
            </w:pPr>
            <w:r>
              <w:rPr>
                <w:b/>
                <w:color w:val="FFFFFF"/>
                <w:sz w:val="20"/>
              </w:rPr>
              <w:t>Attribute</w:t>
            </w:r>
          </w:p>
        </w:tc>
        <w:tc>
          <w:tcPr>
            <w:tcW w:type="dxa" w:w="6803"/>
            <w:shd w:fill="14B8A6" w:val="clear"/>
          </w:tcPr>
          <w:p>
            <w:pPr>
              <w:jc w:val="center"/>
            </w:pPr>
            <w:r>
              <w:rPr>
                <w:b/>
                <w:color w:val="FFFFFF"/>
                <w:sz w:val="20"/>
              </w:rPr>
              <w:t>Detail</w:t>
            </w:r>
          </w:p>
        </w:tc>
      </w:tr>
      <w:tr>
        <w:tc>
          <w:tcPr>
            <w:tcW w:type="dxa" w:w="2268"/>
          </w:tcPr>
          <w:p>
            <w:r>
              <w:rPr>
                <w:sz w:val="20"/>
              </w:rPr>
              <w:t>Route</w:t>
            </w:r>
          </w:p>
        </w:tc>
        <w:tc>
          <w:tcPr>
            <w:tcW w:type="dxa" w:w="6803"/>
          </w:tcPr>
          <w:p>
            <w:r>
              <w:rPr>
                <w:sz w:val="20"/>
              </w:rPr>
              <w:t>onboarding</w:t>
            </w:r>
          </w:p>
        </w:tc>
      </w:tr>
      <w:tr>
        <w:tc>
          <w:tcPr>
            <w:tcW w:type="dxa" w:w="2268"/>
          </w:tcPr>
          <w:p>
            <w:r>
              <w:rPr>
                <w:sz w:val="20"/>
              </w:rPr>
              <w:t>Purpose</w:t>
            </w:r>
          </w:p>
        </w:tc>
        <w:tc>
          <w:tcPr>
            <w:tcW w:type="dxa" w:w="6803"/>
          </w:tcPr>
          <w:p>
            <w:r>
              <w:rPr>
                <w:sz w:val="20"/>
              </w:rPr>
              <w:t>Set up academic profile, log past semesters, choose focus courses</w:t>
            </w:r>
          </w:p>
        </w:tc>
      </w:tr>
      <w:tr>
        <w:tc>
          <w:tcPr>
            <w:tcW w:type="dxa" w:w="2268"/>
          </w:tcPr>
          <w:p>
            <w:r>
              <w:rPr>
                <w:sz w:val="20"/>
              </w:rPr>
              <w:t>Auth Required</w:t>
            </w:r>
          </w:p>
        </w:tc>
        <w:tc>
          <w:tcPr>
            <w:tcW w:type="dxa" w:w="6803"/>
          </w:tcPr>
          <w:p>
            <w:r>
              <w:rPr>
                <w:sz w:val="20"/>
              </w:rPr>
              <w:t>Yes (auto-redirected from App.jsx if user exists but no profile)</w:t>
            </w:r>
          </w:p>
        </w:tc>
      </w:tr>
    </w:tbl>
    <w:p/>
    <w:p>
      <w:pPr>
        <w:pStyle w:val="Heading3"/>
      </w:pPr>
      <w:r>
        <w:t>Purpose</w:t>
      </w:r>
    </w:p>
    <w:p>
      <w:r>
        <w:rPr>
          <w:b w:val="0"/>
          <w:i w:val="0"/>
        </w:rPr>
        <w:t>The onboarding flow is a dynamic, multi-step questionnaire that builds the student's academic profile, learns their university programme structure via AI, captures past semester grades, and selects focus courses for their comeback plan. Steps are conditionally rendered based on prior answers — the flow adapts in real-time (e.g., new students skip year-level and semester selection).</w:t>
      </w:r>
    </w:p>
    <w:p>
      <w:pPr>
        <w:pStyle w:val="Heading3"/>
      </w:pPr>
      <w:r>
        <w:t>Step Sequence</w:t>
      </w:r>
    </w:p>
    <w:p>
      <w:r>
        <w:rPr>
          <w:b/>
          <w:sz w:val="24"/>
        </w:rPr>
        <w:t>Onboarding Steps</w:t>
      </w:r>
    </w:p>
    <w:tbl>
      <w:tblPr>
        <w:tblStyle w:val="LightGrid-Accent1"/>
        <w:tblW w:type="auto" w:w="0"/>
        <w:jc w:val="center"/>
        <w:tblLook w:firstColumn="1" w:firstRow="1" w:lastColumn="0" w:lastRow="0" w:noHBand="0" w:noVBand="1" w:val="04A0"/>
      </w:tblPr>
      <w:tblGrid>
        <w:gridCol w:w="3120"/>
        <w:gridCol w:w="3120"/>
        <w:gridCol w:w="3120"/>
      </w:tblGrid>
      <w:tr>
        <w:tc>
          <w:tcPr>
            <w:tcW w:type="dxa" w:w="1984"/>
            <w:shd w:fill="14B8A6" w:val="clear"/>
          </w:tcPr>
          <w:p>
            <w:pPr>
              <w:jc w:val="center"/>
            </w:pPr>
            <w:r>
              <w:rPr>
                <w:b/>
                <w:color w:val="FFFFFF"/>
                <w:sz w:val="20"/>
              </w:rPr>
              <w:t>Step</w:t>
            </w:r>
          </w:p>
        </w:tc>
        <w:tc>
          <w:tcPr>
            <w:tcW w:type="dxa" w:w="1417"/>
            <w:shd w:fill="14B8A6" w:val="clear"/>
          </w:tcPr>
          <w:p>
            <w:pPr>
              <w:jc w:val="center"/>
            </w:pPr>
            <w:r>
              <w:rPr>
                <w:b/>
                <w:color w:val="FFFFFF"/>
                <w:sz w:val="20"/>
              </w:rPr>
              <w:t>Type</w:t>
            </w:r>
          </w:p>
        </w:tc>
        <w:tc>
          <w:tcPr>
            <w:tcW w:type="dxa" w:w="5669"/>
            <w:shd w:fill="14B8A6" w:val="clear"/>
          </w:tcPr>
          <w:p>
            <w:pPr>
              <w:jc w:val="center"/>
            </w:pPr>
            <w:r>
              <w:rPr>
                <w:b/>
                <w:color w:val="FFFFFF"/>
                <w:sz w:val="20"/>
              </w:rPr>
              <w:t>What Happens</w:t>
            </w:r>
          </w:p>
        </w:tc>
      </w:tr>
      <w:tr>
        <w:tc>
          <w:tcPr>
            <w:tcW w:type="dxa" w:w="1984"/>
          </w:tcPr>
          <w:p>
            <w:r>
              <w:rPr>
                <w:sz w:val="20"/>
              </w:rPr>
              <w:t>Welcome</w:t>
            </w:r>
          </w:p>
        </w:tc>
        <w:tc>
          <w:tcPr>
            <w:tcW w:type="dxa" w:w="1417"/>
          </w:tcPr>
          <w:p>
            <w:r>
              <w:rPr>
                <w:sz w:val="20"/>
              </w:rPr>
              <w:t>welcome</w:t>
            </w:r>
          </w:p>
        </w:tc>
        <w:tc>
          <w:tcPr>
            <w:tcW w:type="dxa" w:w="5669"/>
          </w:tcPr>
          <w:p>
            <w:r>
              <w:rPr>
                <w:sz w:val="20"/>
              </w:rPr>
              <w:t>Introduction with compound-growth messaging. 5-minute estimate.</w:t>
            </w:r>
          </w:p>
        </w:tc>
      </w:tr>
      <w:tr>
        <w:tc>
          <w:tcPr>
            <w:tcW w:type="dxa" w:w="1984"/>
          </w:tcPr>
          <w:p>
            <w:r>
              <w:rPr>
                <w:sz w:val="20"/>
              </w:rPr>
              <w:t>University Name</w:t>
            </w:r>
          </w:p>
        </w:tc>
        <w:tc>
          <w:tcPr>
            <w:tcW w:type="dxa" w:w="1417"/>
          </w:tcPr>
          <w:p>
            <w:r>
              <w:rPr>
                <w:sz w:val="20"/>
              </w:rPr>
              <w:t>text (autocomplete)</w:t>
            </w:r>
          </w:p>
        </w:tc>
        <w:tc>
          <w:tcPr>
            <w:tcW w:type="dxa" w:w="5669"/>
          </w:tcPr>
          <w:p>
            <w:r>
              <w:rPr>
                <w:sz w:val="20"/>
              </w:rPr>
              <w:t>Type or select university from KNOWN_UNIVERSITIES list. Autocomplete with suggestions and quick-picks.</w:t>
            </w:r>
          </w:p>
        </w:tc>
      </w:tr>
      <w:tr>
        <w:tc>
          <w:tcPr>
            <w:tcW w:type="dxa" w:w="1984"/>
          </w:tcPr>
          <w:p>
            <w:r>
              <w:rPr>
                <w:sz w:val="20"/>
              </w:rPr>
              <w:t>Programme Name</w:t>
            </w:r>
          </w:p>
        </w:tc>
        <w:tc>
          <w:tcPr>
            <w:tcW w:type="dxa" w:w="1417"/>
          </w:tcPr>
          <w:p>
            <w:r>
              <w:rPr>
                <w:sz w:val="20"/>
              </w:rPr>
              <w:t>text (autocomplete)</w:t>
            </w:r>
          </w:p>
        </w:tc>
        <w:tc>
          <w:tcPr>
            <w:tcW w:type="dxa" w:w="5669"/>
          </w:tcPr>
          <w:p>
            <w:r>
              <w:rPr>
                <w:sz w:val="20"/>
              </w:rPr>
              <w:t>Type or select programme from filtered suggestions based on university.</w:t>
            </w:r>
          </w:p>
        </w:tc>
      </w:tr>
      <w:tr>
        <w:tc>
          <w:tcPr>
            <w:tcW w:type="dxa" w:w="1984"/>
          </w:tcPr>
          <w:p>
            <w:r>
              <w:rPr>
                <w:sz w:val="20"/>
              </w:rPr>
              <w:t>Country</w:t>
            </w:r>
          </w:p>
        </w:tc>
        <w:tc>
          <w:tcPr>
            <w:tcW w:type="dxa" w:w="1417"/>
          </w:tcPr>
          <w:p>
            <w:r>
              <w:rPr>
                <w:sz w:val="20"/>
              </w:rPr>
              <w:t>country</w:t>
            </w:r>
          </w:p>
        </w:tc>
        <w:tc>
          <w:tcPr>
            <w:tcW w:type="dxa" w:w="5669"/>
          </w:tcPr>
          <w:p>
            <w:r>
              <w:rPr>
                <w:sz w:val="20"/>
              </w:rPr>
              <w:t>Select country (Ghana, Nigeria, UK, US, Other) — determines grading scale inference.</w:t>
            </w:r>
          </w:p>
        </w:tc>
      </w:tr>
      <w:tr>
        <w:tc>
          <w:tcPr>
            <w:tcW w:type="dxa" w:w="1984"/>
          </w:tcPr>
          <w:p>
            <w:r>
              <w:rPr>
                <w:sz w:val="20"/>
              </w:rPr>
              <w:t>Track Type</w:t>
            </w:r>
          </w:p>
        </w:tc>
        <w:tc>
          <w:tcPr>
            <w:tcW w:type="dxa" w:w="1417"/>
          </w:tcPr>
          <w:p>
            <w:r>
              <w:rPr>
                <w:sz w:val="20"/>
              </w:rPr>
              <w:t>trackType</w:t>
            </w:r>
          </w:p>
        </w:tc>
        <w:tc>
          <w:tcPr>
            <w:tcW w:type="dxa" w:w="5669"/>
          </w:tcPr>
          <w:p>
            <w:r>
              <w:rPr>
                <w:sz w:val="20"/>
              </w:rPr>
              <w:t>Single major or Combined major.</w:t>
            </w:r>
          </w:p>
        </w:tc>
      </w:tr>
      <w:tr>
        <w:tc>
          <w:tcPr>
            <w:tcW w:type="dxa" w:w="1984"/>
          </w:tcPr>
          <w:p>
            <w:r>
              <w:rPr>
                <w:sz w:val="20"/>
              </w:rPr>
              <w:t>Student Path</w:t>
            </w:r>
          </w:p>
        </w:tc>
        <w:tc>
          <w:tcPr>
            <w:tcW w:type="dxa" w:w="1417"/>
          </w:tcPr>
          <w:p>
            <w:r>
              <w:rPr>
                <w:sz w:val="20"/>
              </w:rPr>
              <w:t>studentPath</w:t>
            </w:r>
          </w:p>
        </w:tc>
        <w:tc>
          <w:tcPr>
            <w:tcW w:type="dxa" w:w="5669"/>
          </w:tcPr>
          <w:p>
            <w:r>
              <w:rPr>
                <w:sz w:val="20"/>
              </w:rPr>
              <w:t>Just starting (Level 100) or Already in programme. Determines flow complexity.</w:t>
            </w:r>
          </w:p>
        </w:tc>
      </w:tr>
      <w:tr>
        <w:tc>
          <w:tcPr>
            <w:tcW w:type="dxa" w:w="1984"/>
          </w:tcPr>
          <w:p>
            <w:r>
              <w:rPr>
                <w:sz w:val="20"/>
              </w:rPr>
              <w:t>Year Level</w:t>
            </w:r>
          </w:p>
        </w:tc>
        <w:tc>
          <w:tcPr>
            <w:tcW w:type="dxa" w:w="1417"/>
          </w:tcPr>
          <w:p>
            <w:r>
              <w:rPr>
                <w:sz w:val="20"/>
              </w:rPr>
              <w:t>yearLevel</w:t>
            </w:r>
          </w:p>
        </w:tc>
        <w:tc>
          <w:tcPr>
            <w:tcW w:type="dxa" w:w="5669"/>
          </w:tcPr>
          <w:p>
            <w:r>
              <w:rPr>
                <w:sz w:val="20"/>
              </w:rPr>
              <w:t>(Continuing only) Select current year: Level 100, 200, 300, or 400.</w:t>
            </w:r>
          </w:p>
        </w:tc>
      </w:tr>
      <w:tr>
        <w:tc>
          <w:tcPr>
            <w:tcW w:type="dxa" w:w="1984"/>
          </w:tcPr>
          <w:p>
            <w:r>
              <w:rPr>
                <w:sz w:val="20"/>
              </w:rPr>
              <w:t>Semester</w:t>
            </w:r>
          </w:p>
        </w:tc>
        <w:tc>
          <w:tcPr>
            <w:tcW w:type="dxa" w:w="1417"/>
          </w:tcPr>
          <w:p>
            <w:r>
              <w:rPr>
                <w:sz w:val="20"/>
              </w:rPr>
              <w:t>semesterPick</w:t>
            </w:r>
          </w:p>
        </w:tc>
        <w:tc>
          <w:tcPr>
            <w:tcW w:type="dxa" w:w="5669"/>
          </w:tcPr>
          <w:p>
            <w:r>
              <w:rPr>
                <w:sz w:val="20"/>
              </w:rPr>
              <w:t>(Continuing only) Select current semester: 1 or 2.</w:t>
            </w:r>
          </w:p>
        </w:tc>
      </w:tr>
      <w:tr>
        <w:tc>
          <w:tcPr>
            <w:tcW w:type="dxa" w:w="1984"/>
          </w:tcPr>
          <w:p>
            <w:r>
              <w:rPr>
                <w:sz w:val="20"/>
              </w:rPr>
              <w:t>Recovery Window</w:t>
            </w:r>
          </w:p>
        </w:tc>
        <w:tc>
          <w:tcPr>
            <w:tcW w:type="dxa" w:w="1417"/>
          </w:tcPr>
          <w:p>
            <w:r>
              <w:rPr>
                <w:sz w:val="20"/>
              </w:rPr>
              <w:t>habit</w:t>
            </w:r>
          </w:p>
        </w:tc>
        <w:tc>
          <w:tcPr>
            <w:tcW w:type="dxa" w:w="5669"/>
          </w:tcPr>
          <w:p>
            <w:r>
              <w:rPr>
                <w:sz w:val="20"/>
              </w:rPr>
              <w:t>Select time window from 4 options. Determines course limits and tool access.</w:t>
            </w:r>
          </w:p>
        </w:tc>
      </w:tr>
      <w:tr>
        <w:tc>
          <w:tcPr>
            <w:tcW w:type="dxa" w:w="1984"/>
          </w:tcPr>
          <w:p>
            <w:r>
              <w:rPr>
                <w:sz w:val="20"/>
              </w:rPr>
              <w:t>AI Learn</w:t>
            </w:r>
          </w:p>
        </w:tc>
        <w:tc>
          <w:tcPr>
            <w:tcW w:type="dxa" w:w="1417"/>
          </w:tcPr>
          <w:p>
            <w:r>
              <w:rPr>
                <w:sz w:val="20"/>
              </w:rPr>
              <w:t>aiLearn</w:t>
            </w:r>
          </w:p>
        </w:tc>
        <w:tc>
          <w:tcPr>
            <w:tcW w:type="dxa" w:w="5669"/>
          </w:tcPr>
          <w:p>
            <w:r>
              <w:rPr>
                <w:sz w:val="20"/>
              </w:rPr>
              <w:t>AI builds academic profile — grading scale, curriculum map per level/semester, course codes. Shows progress with elapsed timer.</w:t>
            </w:r>
          </w:p>
        </w:tc>
      </w:tr>
      <w:tr>
        <w:tc>
          <w:tcPr>
            <w:tcW w:type="dxa" w:w="1984"/>
          </w:tcPr>
          <w:p>
            <w:r>
              <w:rPr>
                <w:sz w:val="20"/>
              </w:rPr>
              <w:t>Profile Review</w:t>
            </w:r>
          </w:p>
        </w:tc>
        <w:tc>
          <w:tcPr>
            <w:tcW w:type="dxa" w:w="1417"/>
          </w:tcPr>
          <w:p>
            <w:r>
              <w:rPr>
                <w:sz w:val="20"/>
              </w:rPr>
              <w:t>profileReview</w:t>
            </w:r>
          </w:p>
        </w:tc>
        <w:tc>
          <w:tcPr>
            <w:tcW w:type="dxa" w:w="5669"/>
          </w:tcPr>
          <w:p>
            <w:r>
              <w:rPr>
                <w:sz w:val="20"/>
              </w:rPr>
              <w:t>Review AI-generated profile. Edit institution name, programme, grading scale, curriculum. Must confirm before proceeding.</w:t>
            </w:r>
          </w:p>
        </w:tc>
      </w:tr>
      <w:tr>
        <w:tc>
          <w:tcPr>
            <w:tcW w:type="dxa" w:w="1984"/>
          </w:tcPr>
          <w:p>
            <w:r>
              <w:rPr>
                <w:sz w:val="20"/>
              </w:rPr>
              <w:t>Semester Grades</w:t>
            </w:r>
          </w:p>
        </w:tc>
        <w:tc>
          <w:tcPr>
            <w:tcW w:type="dxa" w:w="1417"/>
          </w:tcPr>
          <w:p>
            <w:r>
              <w:rPr>
                <w:sz w:val="20"/>
              </w:rPr>
              <w:t>semesterGrades</w:t>
            </w:r>
          </w:p>
        </w:tc>
        <w:tc>
          <w:tcPr>
            <w:tcW w:type="dxa" w:w="5669"/>
          </w:tcPr>
          <w:p>
            <w:r>
              <w:rPr>
                <w:sz w:val="20"/>
              </w:rPr>
              <w:t>Enter grades for completed semesters. AI-pre-filled courses shown with edit/remove/add capability. SemesterCourseEditor component.</w:t>
            </w:r>
          </w:p>
        </w:tc>
      </w:tr>
      <w:tr>
        <w:tc>
          <w:tcPr>
            <w:tcW w:type="dxa" w:w="1984"/>
          </w:tcPr>
          <w:p>
            <w:r>
              <w:rPr>
                <w:sz w:val="20"/>
              </w:rPr>
              <w:t>Course Focus</w:t>
            </w:r>
          </w:p>
        </w:tc>
        <w:tc>
          <w:tcPr>
            <w:tcW w:type="dxa" w:w="1417"/>
          </w:tcPr>
          <w:p>
            <w:r>
              <w:rPr>
                <w:sz w:val="20"/>
              </w:rPr>
              <w:t>courseFocus</w:t>
            </w:r>
          </w:p>
        </w:tc>
        <w:tc>
          <w:tcPr>
            <w:tcW w:type="dxa" w:w="5669"/>
          </w:tcPr>
          <w:p>
            <w:r>
              <w:rPr>
                <w:sz w:val="20"/>
              </w:rPr>
              <w:t>Select focus courses from AI-suggested improvement areas. Improvement suggestions derived from grade patterns.</w:t>
            </w:r>
          </w:p>
        </w:tc>
      </w:tr>
      <w:tr>
        <w:tc>
          <w:tcPr>
            <w:tcW w:type="dxa" w:w="1984"/>
          </w:tcPr>
          <w:p>
            <w:r>
              <w:rPr>
                <w:sz w:val="20"/>
              </w:rPr>
              <w:t>Complete</w:t>
            </w:r>
          </w:p>
        </w:tc>
        <w:tc>
          <w:tcPr>
            <w:tcW w:type="dxa" w:w="1417"/>
          </w:tcPr>
          <w:p>
            <w:r>
              <w:rPr>
                <w:sz w:val="20"/>
              </w:rPr>
              <w:t>complete</w:t>
            </w:r>
          </w:p>
        </w:tc>
        <w:tc>
          <w:tcPr>
            <w:tcW w:type="dxa" w:w="5669"/>
          </w:tcPr>
          <w:p>
            <w:r>
              <w:rPr>
                <w:sz w:val="20"/>
              </w:rPr>
              <w:t>Summary step. Validates minimum setup requirements met. "Enter Acad" button.</w:t>
            </w:r>
          </w:p>
        </w:tc>
      </w:tr>
    </w:tbl>
    <w:p/>
    <w:p>
      <w:pPr>
        <w:pStyle w:val="Heading3"/>
      </w:pPr>
      <w:r>
        <w:t>Key Components</w:t>
      </w:r>
    </w:p>
    <w:p>
      <w:pPr>
        <w:pStyle w:val="ListBullet"/>
      </w:pPr>
      <w:r>
        <w:t>AiLearnProgress — animated progress indicator during AI learning with elapsed timer, retry button, and source/summary display after completion</w:t>
      </w:r>
    </w:p>
    <w:p>
      <w:pPr>
        <w:pStyle w:val="ListBullet"/>
      </w:pPr>
      <w:r>
        <w:t>AcademicProfileReview — editable review panel for AI-generated profile (institution, programme, grading, curriculum) with confirm requirement</w:t>
      </w:r>
    </w:p>
    <w:p>
      <w:pPr>
        <w:pStyle w:val="ListBullet"/>
      </w:pPr>
      <w:r>
        <w:t>SemesterCourseEditor — powerful course grid with grade picker, course editing (code/name/credits), removal, and custom course addition</w:t>
      </w:r>
    </w:p>
    <w:p>
      <w:pPr>
        <w:pStyle w:val="ListBullet"/>
      </w:pPr>
      <w:r>
        <w:t>CourseFocusPicker — improvement-suggestion cards derived from grade pattern analysis, with toggle selection and custom course pool</w:t>
      </w:r>
    </w:p>
    <w:p>
      <w:pPr>
        <w:pStyle w:val="ListBullet"/>
      </w:pPr>
      <w:r>
        <w:t>AutocompleteInput — type-ahead input with suggestion dropdown and quick-pick chips</w:t>
      </w:r>
    </w:p>
    <w:p>
      <w:pPr>
        <w:pStyle w:val="ListBullet"/>
      </w:pPr>
      <w:r>
        <w:t>EditableGradePicker / GradeButtonPicker — grade selection UI components</w:t>
      </w:r>
    </w:p>
    <w:p>
      <w:pPr>
        <w:pStyle w:val="Heading3"/>
      </w:pPr>
      <w:r>
        <w:t>User Flow</w:t>
      </w:r>
    </w:p>
    <w:p>
      <w:pPr>
        <w:pStyle w:val="ListNumber"/>
      </w:pPr>
      <w:r>
        <w:t>User progresses through conditional steps with Back/Continue navigation</w:t>
      </w:r>
    </w:p>
    <w:p>
      <w:pPr>
        <w:pStyle w:val="ListNumber"/>
      </w:pPr>
      <w:r>
        <w:t>Progress bar shows percentage completion with floor (never decreases)</w:t>
      </w:r>
    </w:p>
    <w:p>
      <w:pPr>
        <w:pStyle w:val="ListNumber"/>
      </w:pPr>
      <w:r>
        <w:t>AI learning step: edge function called, progress shown, results summarized with source indicator (catalogue, AI, or fallback)</w:t>
      </w:r>
    </w:p>
    <w:p>
      <w:pPr>
        <w:pStyle w:val="ListNumber"/>
      </w:pPr>
      <w:r>
        <w:t>Profile review step: user can edit AI-generated fields before confirming</w:t>
      </w:r>
    </w:p>
    <w:p>
      <w:pPr>
        <w:pStyle w:val="ListNumber"/>
      </w:pPr>
      <w:r>
        <w:t>Semester grades: AI-pre-filled courses per level/semester, editable with grade selection</w:t>
      </w:r>
    </w:p>
    <w:p>
      <w:pPr>
        <w:pStyle w:val="ListNumber"/>
      </w:pPr>
      <w:r>
        <w:t>Course focus: AI-suggested courses based on grade patterns (weakest areas)</w:t>
      </w:r>
    </w:p>
    <w:p>
      <w:pPr>
        <w:pStyle w:val="ListNumber"/>
      </w:pPr>
      <w:r>
        <w:t>Completion: validates minimum requirements (academic profile confirmed, at least 1 focus course, adequate semester history), then saves profile, courses, and navigates to dashboard</w:t>
      </w:r>
    </w:p>
    <w:p>
      <w:pPr>
        <w:pStyle w:val="Heading3"/>
      </w:pPr>
      <w:r>
        <w:t>Backend</w:t>
      </w:r>
    </w:p>
    <w:p>
      <w:pPr>
        <w:pStyle w:val="ListBullet"/>
      </w:pPr>
      <w:r>
        <w:t>Supabase Edge Function: academic-profile — invokes AI via DeepSeek or OpenAI, first checks against local UG-Ghana course catalogue</w:t>
      </w:r>
    </w:p>
    <w:p>
      <w:pPr>
        <w:pStyle w:val="ListBullet"/>
      </w:pPr>
      <w:r>
        <w:t>Local catalogue matching: findCatalogueMatch() checks institution/programme against pre-loaded JSON data</w:t>
      </w:r>
    </w:p>
    <w:p>
      <w:pPr>
        <w:pStyle w:val="ListBullet"/>
      </w:pPr>
      <w:r>
        <w:t>Web grounding: SearXNG search for non-catalogue universities to ground AI responses with real course data</w:t>
      </w:r>
    </w:p>
    <w:p>
      <w:pPr>
        <w:pStyle w:val="ListBullet"/>
      </w:pPr>
      <w:r>
        <w:t>Fallback logic: if all AI sources fail, builds estimated profile from user-provided names with generic course templates</w:t>
      </w:r>
    </w:p>
    <w:p>
      <w:pPr>
        <w:pStyle w:val="Heading3"/>
      </w:pPr>
      <w:r>
        <w:t>AI Learning Cascade (academicProfileAI.js)</w:t>
      </w:r>
    </w:p>
    <w:p>
      <w:r>
        <w:rPr>
          <w:b w:val="0"/>
          <w:i w:val="0"/>
        </w:rPr>
        <w:t>The AI learning follows a multi-tier cascade strategy: (1) Local Catalogue Match — checks the pre-loaded UG-Ghana JSON catalogue for the exact institution and programme; returns immediately if found. (2) Supabase Edge Function — calls the academic-profile edge function with a 75-second timeout. (3) Direct DeepSeek Call — falls back to a client-side DeepSeek call via llmClient.js. (4) Direct Anthropic Call — attempts Claude API as a last AI resort. (5) Fallback Profile — builds a generic estimated profile from user-provided names. Each tier gracefully degrades to the next, ensuring onboarding never blocks.</w:t>
      </w:r>
    </w:p>
    <w:p>
      <w:pPr>
        <w:pStyle w:val="Heading3"/>
      </w:pPr>
      <w:r>
        <w:t>State Management</w:t>
      </w:r>
    </w:p>
    <w:p>
      <w:pPr>
        <w:pStyle w:val="ListBullet"/>
      </w:pPr>
      <w:r>
        <w:t>AuthContext — setProfile() to persist the completed profile, bumpDataEpoch() to trigger data refresh</w:t>
      </w:r>
    </w:p>
    <w:p>
      <w:pPr>
        <w:pStyle w:val="ListBullet"/>
      </w:pPr>
      <w:r>
        <w:t>SemestersContext — initializeAcademicProfile() to store the learned academic profile and grade history</w:t>
      </w:r>
    </w:p>
    <w:p>
      <w:pPr>
        <w:pStyle w:val="ListBullet"/>
      </w:pPr>
      <w:r>
        <w:t>Local React state — steps, answers, semesterGrades, customCourses, profileEdits, AI learn state, focus selection</w:t>
      </w:r>
    </w:p>
    <w:p>
      <w:pPr>
        <w:pStyle w:val="ListBullet"/>
      </w:pPr>
      <w:r>
        <w:t>useMemo — dynamically builds steps array via buildOnboardingFlow() which reacts to answer changes</w:t>
      </w:r>
    </w:p>
    <w:p>
      <w:pPr>
        <w:pStyle w:val="Heading2"/>
      </w:pPr>
      <w:r>
        <w:t>3.4 Dashboard</w:t>
      </w:r>
    </w:p>
    <w:p>
      <w:r>
        <w:rPr>
          <w:b/>
          <w:sz w:val="24"/>
        </w:rPr>
        <w:t>Dashboard Overview</w:t>
      </w:r>
    </w:p>
    <w:tbl>
      <w:tblPr>
        <w:tblStyle w:val="LightGrid-Accent1"/>
        <w:tblW w:type="auto" w:w="0"/>
        <w:jc w:val="center"/>
        <w:tblLook w:firstColumn="1" w:firstRow="1" w:lastColumn="0" w:lastRow="0" w:noHBand="0" w:noVBand="1" w:val="04A0"/>
      </w:tblPr>
      <w:tblGrid>
        <w:gridCol w:w="4680"/>
        <w:gridCol w:w="4680"/>
      </w:tblGrid>
      <w:tr>
        <w:tc>
          <w:tcPr>
            <w:tcW w:type="dxa" w:w="2268"/>
            <w:shd w:fill="14B8A6" w:val="clear"/>
          </w:tcPr>
          <w:p>
            <w:pPr>
              <w:jc w:val="center"/>
            </w:pPr>
            <w:r>
              <w:rPr>
                <w:b/>
                <w:color w:val="FFFFFF"/>
                <w:sz w:val="20"/>
              </w:rPr>
              <w:t>Attribute</w:t>
            </w:r>
          </w:p>
        </w:tc>
        <w:tc>
          <w:tcPr>
            <w:tcW w:type="dxa" w:w="6803"/>
            <w:shd w:fill="14B8A6" w:val="clear"/>
          </w:tcPr>
          <w:p>
            <w:pPr>
              <w:jc w:val="center"/>
            </w:pPr>
            <w:r>
              <w:rPr>
                <w:b/>
                <w:color w:val="FFFFFF"/>
                <w:sz w:val="20"/>
              </w:rPr>
              <w:t>Detail</w:t>
            </w:r>
          </w:p>
        </w:tc>
      </w:tr>
      <w:tr>
        <w:tc>
          <w:tcPr>
            <w:tcW w:type="dxa" w:w="2268"/>
          </w:tcPr>
          <w:p>
            <w:r>
              <w:rPr>
                <w:sz w:val="20"/>
              </w:rPr>
              <w:t>Route</w:t>
            </w:r>
          </w:p>
        </w:tc>
        <w:tc>
          <w:tcPr>
            <w:tcW w:type="dxa" w:w="6803"/>
          </w:tcPr>
          <w:p>
            <w:r>
              <w:rPr>
                <w:sz w:val="20"/>
              </w:rPr>
              <w:t>dashboard (default for authenticated users with profile)</w:t>
            </w:r>
          </w:p>
        </w:tc>
      </w:tr>
      <w:tr>
        <w:tc>
          <w:tcPr>
            <w:tcW w:type="dxa" w:w="2268"/>
          </w:tcPr>
          <w:p>
            <w:r>
              <w:rPr>
                <w:sz w:val="20"/>
              </w:rPr>
              <w:t>Purpose</w:t>
            </w:r>
          </w:p>
        </w:tc>
        <w:tc>
          <w:tcPr>
            <w:tcW w:type="dxa" w:w="6803"/>
          </w:tcPr>
          <w:p>
            <w:r>
              <w:rPr>
                <w:sz w:val="20"/>
              </w:rPr>
              <w:t>Central hub showing plan status, daily task, conditioning progress, and metrics</w:t>
            </w:r>
          </w:p>
        </w:tc>
      </w:tr>
      <w:tr>
        <w:tc>
          <w:tcPr>
            <w:tcW w:type="dxa" w:w="2268"/>
          </w:tcPr>
          <w:p>
            <w:r>
              <w:rPr>
                <w:sz w:val="20"/>
              </w:rPr>
              <w:t>Auth Required</w:t>
            </w:r>
          </w:p>
        </w:tc>
        <w:tc>
          <w:tcPr>
            <w:tcW w:type="dxa" w:w="6803"/>
          </w:tcPr>
          <w:p>
            <w:r>
              <w:rPr>
                <w:sz w:val="20"/>
              </w:rPr>
              <w:t>Yes</w:t>
            </w:r>
          </w:p>
        </w:tc>
      </w:tr>
    </w:tbl>
    <w:p/>
    <w:p>
      <w:pPr>
        <w:pStyle w:val="Heading3"/>
      </w:pPr>
      <w:r>
        <w:t>Purpose</w:t>
      </w:r>
    </w:p>
    <w:p>
      <w:r>
        <w:rPr>
          <w:b w:val="0"/>
          <w:i w:val="0"/>
        </w:rPr>
        <w:t>The Dashboard is the primary landing page after login. It serves as a command center displaying the student's academic position, comeback plan timeline, daily conditioning task, performance metrics, consistency map, conditioning program progress, and course insights. Every component is designed to drive daily engagement and provide at-a-glance awareness of academic recovery status.</w:t>
      </w:r>
    </w:p>
    <w:p>
      <w:pPr>
        <w:pStyle w:val="Heading3"/>
      </w:pPr>
      <w:r>
        <w:t>Key Components</w:t>
      </w:r>
    </w:p>
    <w:p>
      <w:pPr>
        <w:pStyle w:val="ListBullet"/>
      </w:pPr>
      <w:r>
        <w:t>Greeting Header — time-based greeting (Good morning/afternoon/evening), user name, date, institution/level/semester chips, cognitive load indicator, and day streak badge</w:t>
      </w:r>
    </w:p>
    <w:p>
      <w:pPr>
        <w:pStyle w:val="ListBullet"/>
      </w:pPr>
      <w:r>
        <w:t>Gate Banner — conditional banner shown when a gated tool is clicked, explains plan limits; dismissible via sessionStorage</w:t>
      </w:r>
    </w:p>
    <w:p>
      <w:pPr>
        <w:pStyle w:val="ListBullet"/>
      </w:pPr>
      <w:r>
        <w:t>Setup Checklist — progress checklist for onboarding completion (programme profile, semester logged, focus course, first task, habits, flashcards); dismissible</w:t>
      </w:r>
    </w:p>
    <w:p>
      <w:pPr>
        <w:pStyle w:val="ListBullet"/>
      </w:pPr>
      <w:r>
        <w:t>Deferred Setup Prompt — nudges user to complete deferred onboarding questions (habits)</w:t>
      </w:r>
    </w:p>
    <w:p>
      <w:pPr>
        <w:pStyle w:val="ListBullet"/>
      </w:pPr>
      <w:r>
        <w:t>KPI Row — 4 metric cards: Day Streak (gold), Completion Rate, Tasks Completed, Active Projects</w:t>
      </w:r>
    </w:p>
    <w:p>
      <w:pPr>
        <w:pStyle w:val="ListBullet"/>
      </w:pPr>
      <w:r>
        <w:t>Hero Grid — Plan Countdown (comeback window timer), Semester Journey card (level/semester/terms logged/GPA), Your Plan card (window/state/effort/intention)</w:t>
      </w:r>
    </w:p>
    <w:p>
      <w:pPr>
        <w:pStyle w:val="ListBullet"/>
      </w:pPr>
      <w:r>
        <w:t>Daily Task Card — adaptive daily task with timer (10 minutes), Begin/Pause/Mark Complete actions, progress bar</w:t>
      </w:r>
    </w:p>
    <w:p>
      <w:pPr>
        <w:pStyle w:val="ListBullet"/>
      </w:pPr>
      <w:r>
        <w:t>Consistency Map — 6-week GitHub-style activity heatmap (42 cells) with legend</w:t>
      </w:r>
    </w:p>
    <w:p>
      <w:pPr>
        <w:pStyle w:val="ListBullet"/>
      </w:pPr>
      <w:r>
        <w:t>Conditioning Program — overall percentage, section rows (daily conditioning, flashcard mastery, wellness, projects) with progress bars</w:t>
      </w:r>
    </w:p>
    <w:p>
      <w:pPr>
        <w:pStyle w:val="ListBullet"/>
      </w:pPr>
      <w:r>
        <w:t>Course Velocity — per-course mastery bars, weak topics list (below 60%), today's flashcard summary (cards due, mastered, total courses)</w:t>
      </w:r>
    </w:p>
    <w:p>
      <w:pPr>
        <w:pStyle w:val="Heading3"/>
      </w:pPr>
      <w:r>
        <w:t>User Flow</w:t>
      </w:r>
    </w:p>
    <w:p>
      <w:pPr>
        <w:pStyle w:val="ListNumber"/>
      </w:pPr>
      <w:r>
        <w:t>Dashboard loads with booting Loader animation (compound rotation)</w:t>
      </w:r>
    </w:p>
    <w:p>
      <w:pPr>
        <w:pStyle w:val="ListNumber"/>
      </w:pPr>
      <w:r>
        <w:t>Daily task is fetched asynchronously (1.1s simulated delay for adaptive rendering)</w:t>
      </w:r>
    </w:p>
    <w:p>
      <w:pPr>
        <w:pStyle w:val="ListNumber"/>
      </w:pPr>
      <w:r>
        <w:t>If setup checklist incomplete (&lt;80%): checklist shown at top with actionable links</w:t>
      </w:r>
    </w:p>
    <w:p>
      <w:pPr>
        <w:pStyle w:val="ListNumber"/>
      </w:pPr>
      <w:r>
        <w:t>If gate message in sessionStorage: gate banner shown, then cleared</w:t>
      </w:r>
    </w:p>
    <w:p>
      <w:pPr>
        <w:pStyle w:val="ListNumber"/>
      </w:pPr>
      <w:r>
        <w:t>User sees time-based greeting, plan countdown, and key metrics</w:t>
      </w:r>
    </w:p>
    <w:p>
      <w:pPr>
        <w:pStyle w:val="ListNumber"/>
      </w:pPr>
      <w:r>
        <w:t>User can start the daily task (10-minute timer), pause, or mark complete</w:t>
      </w:r>
    </w:p>
    <w:p>
      <w:pPr>
        <w:pStyle w:val="ListNumber"/>
      </w:pPr>
      <w:r>
        <w:t>Completing a task: updates streak, increments task count, shows "Task complete" with "Load new task" link</w:t>
      </w:r>
    </w:p>
    <w:p>
      <w:pPr>
        <w:pStyle w:val="ListNumber"/>
      </w:pPr>
      <w:r>
        <w:t>Semester journey card shows current position, terms logged, and latest GPA</w:t>
      </w:r>
    </w:p>
    <w:p>
      <w:pPr>
        <w:pStyle w:val="ListNumber"/>
      </w:pPr>
      <w:r>
        <w:t>Conditioning rows show progress across study dimensions</w:t>
      </w:r>
    </w:p>
    <w:p>
      <w:pPr>
        <w:pStyle w:val="ListNumber"/>
      </w:pPr>
      <w:r>
        <w:t>Course velocity section shows mastery bars and weak areas</w:t>
      </w:r>
    </w:p>
    <w:p>
      <w:pPr>
        <w:pStyle w:val="Heading3"/>
      </w:pPr>
      <w:r>
        <w:t>Backend</w:t>
      </w:r>
    </w:p>
    <w:p>
      <w:pPr>
        <w:pStyle w:val="ListBullet"/>
      </w:pPr>
      <w:r>
        <w:t>Supabase (cloud sync): profile data synced to user_data bucket (scholar)</w:t>
      </w:r>
    </w:p>
    <w:p>
      <w:pPr>
        <w:pStyle w:val="ListBullet"/>
      </w:pPr>
      <w:r>
        <w:t>localStorage: scholar profile, courses, streaks persisted locally and synced</w:t>
      </w:r>
    </w:p>
    <w:p>
      <w:pPr>
        <w:pStyle w:val="ListBullet"/>
      </w:pPr>
      <w:r>
        <w:t>fetchDailyTask() — adaptive task selection based on profile sharpness and progressionStatus</w:t>
      </w:r>
    </w:p>
    <w:p>
      <w:pPr>
        <w:pStyle w:val="Heading3"/>
      </w:pPr>
      <w:r>
        <w:t>State Management</w:t>
      </w:r>
    </w:p>
    <w:p>
      <w:pPr>
        <w:pStyle w:val="ListBullet"/>
      </w:pPr>
      <w:r>
        <w:t>AuthContext — user, profile, streak, metrics, completeTask(), setProfile()</w:t>
      </w:r>
    </w:p>
    <w:p>
      <w:pPr>
        <w:pStyle w:val="ListBullet"/>
      </w:pPr>
      <w:r>
        <w:t>CoursesContext — courses list, weakTopics, allTopics (for mastery averages)</w:t>
      </w:r>
    </w:p>
    <w:p>
      <w:pPr>
        <w:pStyle w:val="ListBullet"/>
      </w:pPr>
      <w:r>
        <w:t>FlashcardsContext — dueCards, masteryMap (for today's summary card)</w:t>
      </w:r>
    </w:p>
    <w:p>
      <w:pPr>
        <w:pStyle w:val="ListBullet"/>
      </w:pPr>
      <w:r>
        <w:t>SemestersContext — progressionStatus, gradeHistory, academicProfile (for semester journey card)</w:t>
      </w:r>
    </w:p>
    <w:p>
      <w:pPr>
        <w:pStyle w:val="ListBullet"/>
      </w:pPr>
      <w:r>
        <w:t>HabitsContext — logs (for wellness check-in count)</w:t>
      </w:r>
    </w:p>
    <w:p>
      <w:pPr>
        <w:pStyle w:val="ListBullet"/>
      </w:pPr>
      <w:r>
        <w:t>usePlanCapacity — plan details, enabledTools, isToolEnabled()</w:t>
      </w:r>
    </w:p>
    <w:p>
      <w:pPr>
        <w:pStyle w:val="ListBullet"/>
      </w:pPr>
      <w:r>
        <w:t>Local React state — task, timer, loading, gate message, setup checklist visibility</w:t>
      </w:r>
    </w:p>
    <w:p>
      <w:pPr>
        <w:pStyle w:val="Heading2"/>
      </w:pPr>
      <w:r>
        <w:t>3.5 Courses Page</w:t>
      </w:r>
    </w:p>
    <w:p>
      <w:r>
        <w:rPr>
          <w:b/>
          <w:sz w:val="24"/>
        </w:rPr>
        <w:t>Courses Page Overview</w:t>
      </w:r>
    </w:p>
    <w:tbl>
      <w:tblPr>
        <w:tblStyle w:val="LightGrid-Accent1"/>
        <w:tblW w:type="auto" w:w="0"/>
        <w:jc w:val="center"/>
        <w:tblLook w:firstColumn="1" w:firstRow="1" w:lastColumn="0" w:lastRow="0" w:noHBand="0" w:noVBand="1" w:val="04A0"/>
      </w:tblPr>
      <w:tblGrid>
        <w:gridCol w:w="4680"/>
        <w:gridCol w:w="4680"/>
      </w:tblGrid>
      <w:tr>
        <w:tc>
          <w:tcPr>
            <w:tcW w:type="dxa" w:w="2268"/>
            <w:shd w:fill="14B8A6" w:val="clear"/>
          </w:tcPr>
          <w:p>
            <w:pPr>
              <w:jc w:val="center"/>
            </w:pPr>
            <w:r>
              <w:rPr>
                <w:b/>
                <w:color w:val="FFFFFF"/>
                <w:sz w:val="20"/>
              </w:rPr>
              <w:t>Attribute</w:t>
            </w:r>
          </w:p>
        </w:tc>
        <w:tc>
          <w:tcPr>
            <w:tcW w:type="dxa" w:w="6803"/>
            <w:shd w:fill="14B8A6" w:val="clear"/>
          </w:tcPr>
          <w:p>
            <w:pPr>
              <w:jc w:val="center"/>
            </w:pPr>
            <w:r>
              <w:rPr>
                <w:b/>
                <w:color w:val="FFFFFF"/>
                <w:sz w:val="20"/>
              </w:rPr>
              <w:t>Detail</w:t>
            </w:r>
          </w:p>
        </w:tc>
      </w:tr>
      <w:tr>
        <w:tc>
          <w:tcPr>
            <w:tcW w:type="dxa" w:w="2268"/>
          </w:tcPr>
          <w:p>
            <w:r>
              <w:rPr>
                <w:sz w:val="20"/>
              </w:rPr>
              <w:t>Route</w:t>
            </w:r>
          </w:p>
        </w:tc>
        <w:tc>
          <w:tcPr>
            <w:tcW w:type="dxa" w:w="6803"/>
          </w:tcPr>
          <w:p>
            <w:r>
              <w:rPr>
                <w:sz w:val="20"/>
              </w:rPr>
              <w:t>courses</w:t>
            </w:r>
          </w:p>
        </w:tc>
      </w:tr>
      <w:tr>
        <w:tc>
          <w:tcPr>
            <w:tcW w:type="dxa" w:w="2268"/>
          </w:tcPr>
          <w:p>
            <w:r>
              <w:rPr>
                <w:sz w:val="20"/>
              </w:rPr>
              <w:t>Purpose</w:t>
            </w:r>
          </w:p>
        </w:tc>
        <w:tc>
          <w:tcPr>
            <w:tcW w:type="dxa" w:w="6803"/>
          </w:tcPr>
          <w:p>
            <w:r>
              <w:rPr>
                <w:sz w:val="20"/>
              </w:rPr>
              <w:t>Browse courses, study topics, self-assess mastery, generate flashcards</w:t>
            </w:r>
          </w:p>
        </w:tc>
      </w:tr>
      <w:tr>
        <w:tc>
          <w:tcPr>
            <w:tcW w:type="dxa" w:w="2268"/>
          </w:tcPr>
          <w:p>
            <w:r>
              <w:rPr>
                <w:sz w:val="20"/>
              </w:rPr>
              <w:t>Auth Required</w:t>
            </w:r>
          </w:p>
        </w:tc>
        <w:tc>
          <w:tcPr>
            <w:tcW w:type="dxa" w:w="6803"/>
          </w:tcPr>
          <w:p>
            <w:r>
              <w:rPr>
                <w:sz w:val="20"/>
              </w:rPr>
              <w:t>Yes (gated by plan capacity)</w:t>
            </w:r>
          </w:p>
        </w:tc>
      </w:tr>
    </w:tbl>
    <w:p/>
    <w:p>
      <w:pPr>
        <w:pStyle w:val="Heading3"/>
      </w:pPr>
      <w:r>
        <w:t>Purpose</w:t>
      </w:r>
    </w:p>
    <w:p>
      <w:r>
        <w:rPr>
          <w:b w:val="0"/>
          <w:i w:val="0"/>
        </w:rPr>
        <w:t>The Courses page is the primary interface for managing and studying academic courses. It has three view layers: (1) Home — course grid with mastery rings and priority focus banner, (2) Course Detail — topic list with radar chart and mastery bars, (3) Topic Study — self-assessment quiz, flashcard generation, and manual confidence rating. Every interaction updates mastery levels and contributes to the XP/achievement system.</w:t>
      </w:r>
    </w:p>
    <w:p>
      <w:pPr>
        <w:pStyle w:val="Heading3"/>
      </w:pPr>
      <w:r>
        <w:t>Key Components</w:t>
      </w:r>
    </w:p>
    <w:p>
      <w:pPr>
        <w:pStyle w:val="ListBullet"/>
      </w:pPr>
      <w:r>
        <w:t>CoursesHome — course cards with MasteryRing (SVG donut chart), priority focus banner for weak topics</w:t>
      </w:r>
    </w:p>
    <w:p>
      <w:pPr>
        <w:pStyle w:val="ListBullet"/>
      </w:pPr>
      <w:r>
        <w:t>CourseDetail — topic rows with mastery progress bars, trend badges (delta vs. last semester), CourseRadar SVG chart</w:t>
      </w:r>
    </w:p>
    <w:p>
      <w:pPr>
        <w:pStyle w:val="ListBullet"/>
      </w:pPr>
      <w:r>
        <w:t>MasteryRing — SVG circular progress indicator with color coding (green &gt;= 70%, gold &gt;= 50%, crimson &lt; 50%)</w:t>
      </w:r>
    </w:p>
    <w:p>
      <w:pPr>
        <w:pStyle w:val="ListBullet"/>
      </w:pPr>
      <w:r>
        <w:t>CourseRadar — SVG radar/spider chart showing topic mastery distribution across all topics</w:t>
      </w:r>
    </w:p>
    <w:p>
      <w:pPr>
        <w:pStyle w:val="ListBullet"/>
      </w:pPr>
      <w:r>
        <w:t>TrendBadge — shows GPA/topic delta from previous semester (up arrow green, down arrow crimson)</w:t>
      </w:r>
    </w:p>
    <w:p>
      <w:pPr>
        <w:pStyle w:val="ListBullet"/>
      </w:pPr>
      <w:r>
        <w:t>TopicStudy — multi-mode study interface (choose mode, quiz, self-rate, cards-added, review-info)</w:t>
      </w:r>
    </w:p>
    <w:p>
      <w:pPr>
        <w:pStyle w:val="ListBullet"/>
      </w:pPr>
      <w:r>
        <w:t>SelfRatePanel — slider-based manual confidence rating with mastery update</w:t>
      </w:r>
    </w:p>
    <w:p>
      <w:pPr>
        <w:pStyle w:val="ListBullet"/>
      </w:pPr>
      <w:r>
        <w:t>Quiz System — 45-second timed self-assessment with 5 questions, confidence-based answer scoring, mastery update</w:t>
      </w:r>
    </w:p>
    <w:p>
      <w:pPr>
        <w:pStyle w:val="Heading3"/>
      </w:pPr>
      <w:r>
        <w:t>User Flow</w:t>
      </w:r>
    </w:p>
    <w:p>
      <w:pPr>
        <w:pStyle w:val="ListNumber"/>
      </w:pPr>
      <w:r>
        <w:t>Home view: sees course grid or empty state with link to Semester Journey</w:t>
      </w:r>
    </w:p>
    <w:p>
      <w:pPr>
        <w:pStyle w:val="ListNumber"/>
      </w:pPr>
      <w:r>
        <w:t>Clicks a course card to enter detail view</w:t>
      </w:r>
    </w:p>
    <w:p>
      <w:pPr>
        <w:pStyle w:val="ListNumber"/>
      </w:pPr>
      <w:r>
        <w:t>Detail view: sees topic list with mastery bars, radar chart, trend badges</w:t>
      </w:r>
    </w:p>
    <w:p>
      <w:pPr>
        <w:pStyle w:val="ListNumber"/>
      </w:pPr>
      <w:r>
        <w:t>Clicks a topic to enter study mode</w:t>
      </w:r>
    </w:p>
    <w:p>
      <w:pPr>
        <w:pStyle w:val="ListNumber"/>
      </w:pPr>
      <w:r>
        <w:t>Study mode: chooses quiz (5 questions with timer), flashcards (generate 5 cards), manual rating, or review existing cards</w:t>
      </w:r>
    </w:p>
    <w:p>
      <w:pPr>
        <w:pStyle w:val="ListNumber"/>
      </w:pPr>
      <w:r>
        <w:t>Quiz flow: reads question, starts 45-second timer, reveals answer, selects confidence level (No idea through Perfectly), mastery updated</w:t>
      </w:r>
    </w:p>
    <w:p>
      <w:pPr>
        <w:pStyle w:val="ListNumber"/>
      </w:pPr>
      <w:r>
        <w:t>Flashcard generation: adds 5 cards to FlashcardsContext with topic/course metadata</w:t>
      </w:r>
    </w:p>
    <w:p>
      <w:pPr>
        <w:pStyle w:val="Heading3"/>
      </w:pPr>
      <w:r>
        <w:t>Backend</w:t>
      </w:r>
    </w:p>
    <w:p>
      <w:pPr>
        <w:pStyle w:val="ListBullet"/>
      </w:pPr>
      <w:r>
        <w:t>CoursesContext — all course CRUD, topic mastery updates, radar data computation</w:t>
      </w:r>
    </w:p>
    <w:p>
      <w:pPr>
        <w:pStyle w:val="ListBullet"/>
      </w:pPr>
      <w:r>
        <w:t>FlashcardsContext — addCards() for flashcard generation from topics</w:t>
      </w:r>
    </w:p>
    <w:p>
      <w:pPr>
        <w:pStyle w:val="ListBullet"/>
      </w:pPr>
      <w:r>
        <w:t>GameContext — earnXP() for quiz completion (40 XP), manual rating (15 XP)</w:t>
      </w:r>
    </w:p>
    <w:p>
      <w:pPr>
        <w:pStyle w:val="ListBullet"/>
      </w:pPr>
      <w:r>
        <w:t>SemestersContext — getDeltas() for semester-over-semester topic trend comparison</w:t>
      </w:r>
    </w:p>
    <w:p>
      <w:pPr>
        <w:pStyle w:val="Heading3"/>
      </w:pPr>
      <w:r>
        <w:t>State Management</w:t>
      </w:r>
    </w:p>
    <w:p>
      <w:pPr>
        <w:pStyle w:val="ListBullet"/>
      </w:pPr>
      <w:r>
        <w:t>CoursesContext — courses, addCourse, updateCourse, deleteCourse, updateTopicMastery, allTopics, weakTopics, radarData</w:t>
      </w:r>
    </w:p>
    <w:p>
      <w:pPr>
        <w:pStyle w:val="ListBullet"/>
      </w:pPr>
      <w:r>
        <w:t>FlashcardsContext — cards, addCards</w:t>
      </w:r>
    </w:p>
    <w:p>
      <w:pPr>
        <w:pStyle w:val="ListBullet"/>
      </w:pPr>
      <w:r>
        <w:t>GameContext — earnXP</w:t>
      </w:r>
    </w:p>
    <w:p>
      <w:pPr>
        <w:pStyle w:val="ListBullet"/>
      </w:pPr>
      <w:r>
        <w:t>Local React state — view (home/course-detail/topic-study), selectedCourse, selectedTopic</w:t>
      </w:r>
    </w:p>
    <w:p>
      <w:pPr>
        <w:pStyle w:val="ListBullet"/>
      </w:pPr>
      <w:r>
        <w:t>useMemo — deltaMap computed from SemestersContext.getDeltas()</w:t>
      </w:r>
    </w:p>
    <w:p>
      <w:pPr>
        <w:pStyle w:val="Heading2"/>
      </w:pPr>
      <w:r>
        <w:t>3.6 Daily Log / Wellness Tracker</w:t>
      </w:r>
    </w:p>
    <w:p>
      <w:r>
        <w:rPr>
          <w:b/>
          <w:sz w:val="24"/>
        </w:rPr>
        <w:t>Habit Tracker Overview</w:t>
      </w:r>
    </w:p>
    <w:tbl>
      <w:tblPr>
        <w:tblStyle w:val="LightGrid-Accent1"/>
        <w:tblW w:type="auto" w:w="0"/>
        <w:jc w:val="center"/>
        <w:tblLook w:firstColumn="1" w:firstRow="1" w:lastColumn="0" w:lastRow="0" w:noHBand="0" w:noVBand="1" w:val="04A0"/>
      </w:tblPr>
      <w:tblGrid>
        <w:gridCol w:w="4680"/>
        <w:gridCol w:w="4680"/>
      </w:tblGrid>
      <w:tr>
        <w:tc>
          <w:tcPr>
            <w:tcW w:type="dxa" w:w="2268"/>
            <w:shd w:fill="14B8A6" w:val="clear"/>
          </w:tcPr>
          <w:p>
            <w:pPr>
              <w:jc w:val="center"/>
            </w:pPr>
            <w:r>
              <w:rPr>
                <w:b/>
                <w:color w:val="FFFFFF"/>
                <w:sz w:val="20"/>
              </w:rPr>
              <w:t>Attribute</w:t>
            </w:r>
          </w:p>
        </w:tc>
        <w:tc>
          <w:tcPr>
            <w:tcW w:type="dxa" w:w="6803"/>
            <w:shd w:fill="14B8A6" w:val="clear"/>
          </w:tcPr>
          <w:p>
            <w:pPr>
              <w:jc w:val="center"/>
            </w:pPr>
            <w:r>
              <w:rPr>
                <w:b/>
                <w:color w:val="FFFFFF"/>
                <w:sz w:val="20"/>
              </w:rPr>
              <w:t>Detail</w:t>
            </w:r>
          </w:p>
        </w:tc>
      </w:tr>
      <w:tr>
        <w:tc>
          <w:tcPr>
            <w:tcW w:type="dxa" w:w="2268"/>
          </w:tcPr>
          <w:p>
            <w:r>
              <w:rPr>
                <w:sz w:val="20"/>
              </w:rPr>
              <w:t>Route</w:t>
            </w:r>
          </w:p>
        </w:tc>
        <w:tc>
          <w:tcPr>
            <w:tcW w:type="dxa" w:w="6803"/>
          </w:tcPr>
          <w:p>
            <w:r>
              <w:rPr>
                <w:sz w:val="20"/>
              </w:rPr>
              <w:t>habit-tracker</w:t>
            </w:r>
          </w:p>
        </w:tc>
      </w:tr>
      <w:tr>
        <w:tc>
          <w:tcPr>
            <w:tcW w:type="dxa" w:w="2268"/>
          </w:tcPr>
          <w:p>
            <w:r>
              <w:rPr>
                <w:sz w:val="20"/>
              </w:rPr>
              <w:t>Purpose</w:t>
            </w:r>
          </w:p>
        </w:tc>
        <w:tc>
          <w:tcPr>
            <w:tcW w:type="dxa" w:w="6803"/>
          </w:tcPr>
          <w:p>
            <w:r>
              <w:rPr>
                <w:sz w:val="20"/>
              </w:rPr>
              <w:t>Daily wellness check-ins logging energy, focus, stress, mood, and study hours</w:t>
            </w:r>
          </w:p>
        </w:tc>
      </w:tr>
      <w:tr>
        <w:tc>
          <w:tcPr>
            <w:tcW w:type="dxa" w:w="2268"/>
          </w:tcPr>
          <w:p>
            <w:r>
              <w:rPr>
                <w:sz w:val="20"/>
              </w:rPr>
              <w:t>Auth Required</w:t>
            </w:r>
          </w:p>
        </w:tc>
        <w:tc>
          <w:tcPr>
            <w:tcW w:type="dxa" w:w="6803"/>
          </w:tcPr>
          <w:p>
            <w:r>
              <w:rPr>
                <w:sz w:val="20"/>
              </w:rPr>
              <w:t>Yes (gated by plan capacity)</w:t>
            </w:r>
          </w:p>
        </w:tc>
      </w:tr>
    </w:tbl>
    <w:p/>
    <w:p>
      <w:pPr>
        <w:pStyle w:val="Heading3"/>
      </w:pPr>
      <w:r>
        <w:t>Purpose</w:t>
      </w:r>
    </w:p>
    <w:p>
      <w:r>
        <w:rPr>
          <w:b w:val="0"/>
          <w:i w:val="0"/>
        </w:rPr>
        <w:t>The Habit Tracker is a daily wellness logging tool that captures energy level (5-point Zap scale), focus rating (5-star), stress level (5-star), mood (emoji picker: very happy through very sad), and study hours (slider 0-12h). Each log computes a productivity score and contributes to the streak system, XP progression, and challenge progress. After 14 days of data, productivity insights are generated showing patterns and correlations.</w:t>
      </w:r>
    </w:p>
    <w:p>
      <w:pPr>
        <w:pStyle w:val="Heading3"/>
      </w:pPr>
      <w:r>
        <w:t>Key Components</w:t>
      </w:r>
    </w:p>
    <w:p>
      <w:pPr>
        <w:pStyle w:val="ListBullet"/>
      </w:pPr>
      <w:r>
        <w:t>Energy Buttons — 5-level Zap icon scale with descriptive label (Low energy through Very high energy)</w:t>
      </w:r>
    </w:p>
    <w:p>
      <w:pPr>
        <w:pStyle w:val="ListBullet"/>
      </w:pPr>
      <w:r>
        <w:t>Star Ratings — 5-star controls for focus and stress ratings</w:t>
      </w:r>
    </w:p>
    <w:p>
      <w:pPr>
        <w:pStyle w:val="ListBullet"/>
      </w:pPr>
      <w:r>
        <w:t>Mood Picker — emoji-based mood selection (5 options)</w:t>
      </w:r>
    </w:p>
    <w:p>
      <w:pPr>
        <w:pStyle w:val="ListBullet"/>
      </w:pPr>
      <w:r>
        <w:t>Study Hours Slider — range input 0-12h with 0.5h step resolution</w:t>
      </w:r>
    </w:p>
    <w:p>
      <w:pPr>
        <w:pStyle w:val="ListBullet"/>
      </w:pPr>
      <w:r>
        <w:t>Study Calendar — 6-week GitHub-style heatmap color-coded by study hours</w:t>
      </w:r>
    </w:p>
    <w:p>
      <w:pPr>
        <w:pStyle w:val="ListBullet"/>
      </w:pPr>
      <w:r>
        <w:t>Productivity Insights — auto-generated after 14 days of data, shows patterns and correlations</w:t>
      </w:r>
    </w:p>
    <w:p>
      <w:pPr>
        <w:pStyle w:val="ListBullet"/>
      </w:pPr>
      <w:r>
        <w:t>KPIs — total study hours, average focus, productivity score, days logged</w:t>
      </w:r>
    </w:p>
    <w:p>
      <w:pPr>
        <w:pStyle w:val="Heading3"/>
      </w:pPr>
      <w:r>
        <w:t>User Flow</w:t>
      </w:r>
    </w:p>
    <w:p>
      <w:pPr>
        <w:pStyle w:val="ListNumber"/>
      </w:pPr>
      <w:r>
        <w:t>Header shows KPIs: total study hours, avg focus, productivity %, days logged</w:t>
      </w:r>
    </w:p>
    <w:p>
      <w:pPr>
        <w:pStyle w:val="ListNumber"/>
      </w:pPr>
      <w:r>
        <w:t>If today not yet logged: shows check-in form with energy, focus, stress, mood, study hours, and optional notes</w:t>
      </w:r>
    </w:p>
    <w:p>
      <w:pPr>
        <w:pStyle w:val="ListNumber"/>
      </w:pPr>
      <w:r>
        <w:t>Submits log: productivity score computed from formula (40 + energy*6 + focus*6 + studyHours*4 - stress*3 + moodScore*3), capped at 100</w:t>
      </w:r>
    </w:p>
    <w:p>
      <w:pPr>
        <w:pStyle w:val="ListNumber"/>
      </w:pPr>
      <w:r>
        <w:t>Earns 30 XP, advances habit challenge, unlocks first-habit achievement</w:t>
      </w:r>
    </w:p>
    <w:p>
      <w:pPr>
        <w:pStyle w:val="ListNumber"/>
      </w:pPr>
      <w:r>
        <w:t>Confirmation shown ("Logged" badge), form resets after 2.5s</w:t>
      </w:r>
    </w:p>
    <w:p>
      <w:pPr>
        <w:pStyle w:val="ListNumber"/>
      </w:pPr>
      <w:r>
        <w:t>Study calendar shows historical data</w:t>
      </w:r>
    </w:p>
    <w:p>
      <w:pPr>
        <w:pStyle w:val="ListNumber"/>
      </w:pPr>
      <w:r>
        <w:t>After 14 days: productivity insights panel appears</w:t>
      </w:r>
    </w:p>
    <w:p>
      <w:pPr>
        <w:pStyle w:val="Heading3"/>
      </w:pPr>
      <w:r>
        <w:t>Backend</w:t>
      </w:r>
    </w:p>
    <w:p>
      <w:pPr>
        <w:pStyle w:val="ListBullet"/>
      </w:pPr>
      <w:r>
        <w:t>HabitsContext — addLog(), logs array, todayLog, insights computation</w:t>
      </w:r>
    </w:p>
    <w:p>
      <w:pPr>
        <w:pStyle w:val="ListBullet"/>
      </w:pPr>
      <w:r>
        <w:t>GameContext — earnXP(30), advanceChallenge('habit_7', 1), unlockAchievement('habit_first')</w:t>
      </w:r>
    </w:p>
    <w:p>
      <w:pPr>
        <w:pStyle w:val="Heading3"/>
      </w:pPr>
      <w:r>
        <w:t>State Management</w:t>
      </w:r>
    </w:p>
    <w:p>
      <w:pPr>
        <w:pStyle w:val="ListBullet"/>
      </w:pPr>
      <w:r>
        <w:t>HabitsContext — logs, todayLog, insights, addLog()</w:t>
      </w:r>
    </w:p>
    <w:p>
      <w:pPr>
        <w:pStyle w:val="ListBullet"/>
      </w:pPr>
      <w:r>
        <w:t>GameContext — XP, achievements, challenges, earnXP, advanceChallenge, unlockAchievement</w:t>
      </w:r>
    </w:p>
    <w:p>
      <w:pPr>
        <w:pStyle w:val="ListBullet"/>
      </w:pPr>
      <w:r>
        <w:t>AuthContext — profile (for startedAt to compute days on Acad)</w:t>
      </w:r>
    </w:p>
    <w:p>
      <w:pPr>
        <w:pStyle w:val="Heading2"/>
      </w:pPr>
      <w:r>
        <w:t>3.7 Settings</w:t>
      </w:r>
    </w:p>
    <w:p>
      <w:r>
        <w:rPr>
          <w:b/>
          <w:sz w:val="24"/>
        </w:rPr>
        <w:t>Settings Page Overview</w:t>
      </w:r>
    </w:p>
    <w:tbl>
      <w:tblPr>
        <w:tblStyle w:val="LightGrid-Accent1"/>
        <w:tblW w:type="auto" w:w="0"/>
        <w:jc w:val="center"/>
        <w:tblLook w:firstColumn="1" w:firstRow="1" w:lastColumn="0" w:lastRow="0" w:noHBand="0" w:noVBand="1" w:val="04A0"/>
      </w:tblPr>
      <w:tblGrid>
        <w:gridCol w:w="4680"/>
        <w:gridCol w:w="4680"/>
      </w:tblGrid>
      <w:tr>
        <w:tc>
          <w:tcPr>
            <w:tcW w:type="dxa" w:w="2268"/>
            <w:shd w:fill="14B8A6" w:val="clear"/>
          </w:tcPr>
          <w:p>
            <w:pPr>
              <w:jc w:val="center"/>
            </w:pPr>
            <w:r>
              <w:rPr>
                <w:b/>
                <w:color w:val="FFFFFF"/>
                <w:sz w:val="20"/>
              </w:rPr>
              <w:t>Attribute</w:t>
            </w:r>
          </w:p>
        </w:tc>
        <w:tc>
          <w:tcPr>
            <w:tcW w:type="dxa" w:w="6803"/>
            <w:shd w:fill="14B8A6" w:val="clear"/>
          </w:tcPr>
          <w:p>
            <w:pPr>
              <w:jc w:val="center"/>
            </w:pPr>
            <w:r>
              <w:rPr>
                <w:b/>
                <w:color w:val="FFFFFF"/>
                <w:sz w:val="20"/>
              </w:rPr>
              <w:t>Detail</w:t>
            </w:r>
          </w:p>
        </w:tc>
      </w:tr>
      <w:tr>
        <w:tc>
          <w:tcPr>
            <w:tcW w:type="dxa" w:w="2268"/>
          </w:tcPr>
          <w:p>
            <w:r>
              <w:rPr>
                <w:sz w:val="20"/>
              </w:rPr>
              <w:t>Route</w:t>
            </w:r>
          </w:p>
        </w:tc>
        <w:tc>
          <w:tcPr>
            <w:tcW w:type="dxa" w:w="6803"/>
          </w:tcPr>
          <w:p>
            <w:r>
              <w:rPr>
                <w:sz w:val="20"/>
              </w:rPr>
              <w:t>settings</w:t>
            </w:r>
          </w:p>
        </w:tc>
      </w:tr>
      <w:tr>
        <w:tc>
          <w:tcPr>
            <w:tcW w:type="dxa" w:w="2268"/>
          </w:tcPr>
          <w:p>
            <w:r>
              <w:rPr>
                <w:sz w:val="20"/>
              </w:rPr>
              <w:t>Purpose</w:t>
            </w:r>
          </w:p>
        </w:tc>
        <w:tc>
          <w:tcPr>
            <w:tcW w:type="dxa" w:w="6803"/>
          </w:tcPr>
          <w:p>
            <w:r>
              <w:rPr>
                <w:sz w:val="20"/>
              </w:rPr>
              <w:t>Manage profile, plan, academic programme, appearance, preferences, data, and account</w:t>
            </w:r>
          </w:p>
        </w:tc>
      </w:tr>
      <w:tr>
        <w:tc>
          <w:tcPr>
            <w:tcW w:type="dxa" w:w="2268"/>
          </w:tcPr>
          <w:p>
            <w:r>
              <w:rPr>
                <w:sz w:val="20"/>
              </w:rPr>
              <w:t>Auth Required</w:t>
            </w:r>
          </w:p>
        </w:tc>
        <w:tc>
          <w:tcPr>
            <w:tcW w:type="dxa" w:w="6803"/>
          </w:tcPr>
          <w:p>
            <w:r>
              <w:rPr>
                <w:sz w:val="20"/>
              </w:rPr>
              <w:t>Yes (always accessible regardless of plan gates)</w:t>
            </w:r>
          </w:p>
        </w:tc>
      </w:tr>
    </w:tbl>
    <w:p/>
    <w:p>
      <w:pPr>
        <w:pStyle w:val="Heading3"/>
      </w:pPr>
      <w:r>
        <w:t>Purpose</w:t>
      </w:r>
    </w:p>
    <w:p>
      <w:r>
        <w:rPr>
          <w:b w:val="0"/>
          <w:i w:val="0"/>
        </w:rPr>
        <w:t>The Settings page provides centralized control over the user's account, plan, academic programme, appearance (theme toggle), preferences (focus mode, daily reminders, streak display), data export, and account actions (sign out, delete account / erase local data). It is the only page (alongside manage-plan) that bypasses the plan capacity gate.</w:t>
      </w:r>
    </w:p>
    <w:p>
      <w:pPr>
        <w:pStyle w:val="Heading3"/>
      </w:pPr>
      <w:r>
        <w:t>Key Sections</w:t>
      </w:r>
    </w:p>
    <w:p>
      <w:pPr>
        <w:pStyle w:val="ListBullet"/>
      </w:pPr>
      <w:r>
        <w:t>Profile Section — display name editing, email display (disabled), save button with confirmation</w:t>
      </w:r>
    </w:p>
    <w:p>
      <w:pPr>
        <w:pStyle w:val="ListBullet"/>
      </w:pPr>
      <w:r>
        <w:t>Your Plan Section — plan stats (recovery window, course count/max, day streak), sharpness/effort/intention meta, link to Manage Plan</w:t>
      </w:r>
    </w:p>
    <w:p>
      <w:pPr>
        <w:pStyle w:val="ListBullet"/>
      </w:pPr>
      <w:r>
        <w:t>Academic Programme Section — shows learned institution, programme, grading scale, source badge (official catalogue / estimated), re-learn button with AI progress</w:t>
      </w:r>
    </w:p>
    <w:p>
      <w:pPr>
        <w:pStyle w:val="ListBullet"/>
      </w:pPr>
      <w:r>
        <w:t>Appearance Section — theme toggle (twilight / dawn / dusk)</w:t>
      </w:r>
    </w:p>
    <w:p>
      <w:pPr>
        <w:pStyle w:val="ListBullet"/>
      </w:pPr>
      <w:r>
        <w:t>Preferences Section — focus mode toggle, email notifications (coming soon), daily reminders toggle, streak visibility toggle</w:t>
      </w:r>
    </w:p>
    <w:p>
      <w:pPr>
        <w:pStyle w:val="ListBullet"/>
      </w:pPr>
      <w:r>
        <w:t>Data &amp; Privacy Section — JSON export of all user data (profile, courses, flashcards, habits, etc.)</w:t>
      </w:r>
    </w:p>
    <w:p>
      <w:pPr>
        <w:pStyle w:val="ListBullet"/>
      </w:pPr>
      <w:r>
        <w:t>Account Actions Section — back to dashboard, sign out, delete account (cloud) / erase local data (local)</w:t>
      </w:r>
    </w:p>
    <w:p>
      <w:pPr>
        <w:pStyle w:val="Heading3"/>
      </w:pPr>
      <w:r>
        <w:t>Backend</w:t>
      </w:r>
    </w:p>
    <w:p>
      <w:pPr>
        <w:pStyle w:val="ListBullet"/>
      </w:pPr>
      <w:r>
        <w:t>Supabase Edge Function: delete-account — deletes user_data rows, profiles row, and auth user (requires service_role key)</w:t>
      </w:r>
    </w:p>
    <w:p>
      <w:pPr>
        <w:pStyle w:val="ListBullet"/>
      </w:pPr>
      <w:r>
        <w:t>Academic profile re-learning: calls learnAcademicProfile() with same cascade as onboarding</w:t>
      </w:r>
    </w:p>
    <w:p>
      <w:pPr>
        <w:pStyle w:val="ListBullet"/>
      </w:pPr>
      <w:r>
        <w:t>Data export: exportAllUserData() — aggregates all localStorage keys into a downloadable JSON file</w:t>
      </w:r>
    </w:p>
    <w:p>
      <w:pPr>
        <w:pStyle w:val="Heading3"/>
      </w:pPr>
      <w:r>
        <w:t>State Management</w:t>
      </w:r>
    </w:p>
    <w:p>
      <w:pPr>
        <w:pStyle w:val="ListBullet"/>
      </w:pPr>
      <w:r>
        <w:t>AuthContext — user, profile, streak, settings, updateUser, updateSettings, setFocusMode, isCloudMode, deleteAccount, deleteAllLocalData, setProfile</w:t>
      </w:r>
    </w:p>
    <w:p>
      <w:pPr>
        <w:pStyle w:val="ListBullet"/>
      </w:pPr>
      <w:r>
        <w:t>SemestersContext — academicProfile, relearnAcademicProfile()</w:t>
      </w:r>
    </w:p>
    <w:p>
      <w:pPr>
        <w:pStyle w:val="ListBullet"/>
      </w:pPr>
      <w:r>
        <w:t>ThemeContext — theme</w:t>
      </w:r>
    </w:p>
    <w:p>
      <w:pPr>
        <w:pStyle w:val="ListBullet"/>
      </w:pPr>
      <w:r>
        <w:t>usePlanCapacity — plan details</w:t>
      </w:r>
    </w:p>
    <w:p>
      <w:r>
        <w:br w:type="page"/>
      </w:r>
    </w:p>
    <w:p>
      <w:pPr>
        <w:pStyle w:val="Heading1"/>
      </w:pPr>
      <w:r>
        <w:t>4. Key Features Deep Dive</w:t>
      </w:r>
    </w:p>
    <w:p>
      <w:pPr>
        <w:pStyle w:val="Heading2"/>
      </w:pPr>
      <w:r>
        <w:t>4.1 Semester System</w:t>
      </w:r>
    </w:p>
    <w:p>
      <w:r>
        <w:rPr>
          <w:b w:val="0"/>
          <w:i w:val="0"/>
        </w:rPr>
        <w:t>The semester system is the backbone of Acad's data model. It tracks every academic term a student has completed, creating a chronological history that powers GPA trends, topic deltas, improvement suggestions, and progression status.</w:t>
      </w:r>
    </w:p>
    <w:p>
      <w:pPr>
        <w:pStyle w:val="Heading3"/>
      </w:pPr>
      <w:r>
        <w:t>Data Structure</w:t>
      </w:r>
    </w:p>
    <w:p>
      <w:pPr>
        <w:pStyle w:val="ListBullet"/>
      </w:pPr>
      <w:r>
        <w:t>gradeHistory[] — array of semester entries, each with: id, label, level, semester, courses[], gpa, status, delta</w:t>
      </w:r>
    </w:p>
    <w:p>
      <w:pPr>
        <w:pStyle w:val="ListBullet"/>
      </w:pPr>
      <w:r>
        <w:t>academicProfile — institution, programme, grading scale, curriculum map per level/semester</w:t>
      </w:r>
    </w:p>
    <w:p>
      <w:pPr>
        <w:pStyle w:val="ListBullet"/>
      </w:pPr>
      <w:r>
        <w:t>semesters[] / snapshots{} — optional live semester tracking (start/close with mastery snapshots)</w:t>
      </w:r>
    </w:p>
    <w:p>
      <w:pPr>
        <w:pStyle w:val="ListBullet"/>
      </w:pPr>
      <w:r>
        <w:t>progressionStatus — computed field: "new", "baseline", "improved", "regressed", "stable", "unknown"</w:t>
      </w:r>
    </w:p>
    <w:p>
      <w:pPr>
        <w:pStyle w:val="Heading3"/>
      </w:pPr>
      <w:r>
        <w:t>GPA Calculation</w:t>
      </w:r>
    </w:p>
    <w:p>
      <w:r>
        <w:rPr>
          <w:b w:val="0"/>
          <w:i w:val="0"/>
        </w:rPr>
        <w:t>GPA is computed via computeGpaFromGrades() which maps letter grades to grade points using the institution's grading scale (loaded by AI during onboarding). It multiplies each course's grade points by its credit hours, sums them, and divides by total credit hours.</w:t>
      </w:r>
    </w:p>
    <w:p>
      <w:pPr>
        <w:pStyle w:val="Heading3"/>
      </w:pPr>
      <w:r>
        <w:t>Completed-Only Logic</w:t>
      </w:r>
    </w:p>
    <w:p>
      <w:r>
        <w:rPr>
          <w:b w:val="0"/>
          <w:i w:val="0"/>
        </w:rPr>
        <w:t>Acad only asks for completed semesters. The onboarding flow computes completed semester slots from the student's current level and semester (e.g., a Level 300 Semester 2 student has completed Level 100 S1/S2, Level 200 S1/S2, and Level 300 S1). getCompletedSemesterSlots() determines which terms to present for grade entry. Future terms are never requested.</w:t>
      </w:r>
    </w:p>
    <w:p>
      <w:pPr>
        <w:pStyle w:val="Heading3"/>
      </w:pPr>
      <w:r>
        <w:t>Semester Trend Analysis</w:t>
      </w:r>
    </w:p>
    <w:p>
      <w:r>
        <w:rPr>
          <w:b w:val="0"/>
          <w:i w:val="0"/>
        </w:rPr>
        <w:t>The compareSemesterGrades() function compares course grades between consecutive semesters, computing a delta value that indicates improvement or regression. This powers the TrendBadge component on the Courses page and the progressionStatus field used to adapt daily tasks.</w:t>
      </w:r>
    </w:p>
    <w:p>
      <w:pPr>
        <w:pStyle w:val="Heading2"/>
      </w:pPr>
      <w:r>
        <w:t>4.2 AI Academic Profile Learning</w:t>
      </w:r>
    </w:p>
    <w:p>
      <w:r>
        <w:rPr>
          <w:b w:val="0"/>
          <w:i w:val="0"/>
        </w:rPr>
        <w:t>The AI academic profile learning system is Acad's most sophisticated feature. It constructs a complete academic profile from minimal user input (university name, programme name, country) using a multi-tier cascade strategy that prioritizes ground truth data over AI inference.</w:t>
      </w:r>
    </w:p>
    <w:p>
      <w:pPr>
        <w:pStyle w:val="Heading3"/>
      </w:pPr>
      <w:r>
        <w:t>Learning Cascade</w:t>
      </w:r>
    </w:p>
    <w:p>
      <w:pPr>
        <w:pStyle w:val="ListNumber"/>
      </w:pPr>
      <w:r>
        <w:t>Catalogue Match (Priority 1) — Pre-loaded JSON data for UG-Ghana contains verified course codes, titles, credit hours for every programme. If the user's institution/programme matches, the profile is built directly from the catalogue with zero AI cost.</w:t>
      </w:r>
    </w:p>
    <w:p>
      <w:pPr>
        <w:pStyle w:val="ListNumber"/>
      </w:pPr>
      <w:r>
        <w:t>Edge Function with Web Grounding (Priority 2) — For unmatched institutions, the Supabase edge function performs a SearXNG web search for official university course data, then feeds verified snippets as context to the AI model.</w:t>
      </w:r>
    </w:p>
    <w:p>
      <w:pPr>
        <w:pStyle w:val="ListNumber"/>
      </w:pPr>
      <w:r>
        <w:t>Direct AI Inference (Priority 3) — If web search yields no results, the AI model infers the programme structure from its training data, with strict instructions to omit unknown course codes rather than hallucinate.</w:t>
      </w:r>
    </w:p>
    <w:p>
      <w:pPr>
        <w:pStyle w:val="ListNumber"/>
      </w:pPr>
      <w:r>
        <w:t>Client-side DeepSeek (Fallback 1) — If the edge function fails, a direct DeepSeek API call is attempted from the client.</w:t>
      </w:r>
    </w:p>
    <w:p>
      <w:pPr>
        <w:pStyle w:val="ListNumber"/>
      </w:pPr>
      <w:r>
        <w:t>Client-side Anthropic (Fallback 2) — If DeepSeek fails, a direct Anthropic Claude API call is attempted.</w:t>
      </w:r>
    </w:p>
    <w:p>
      <w:pPr>
        <w:pStyle w:val="ListNumber"/>
      </w:pPr>
      <w:r>
        <w:t>Estimated Profile (Fallback 3) — If all AI sources fail, a generic profile is built with placeholder course codes and country-specific grading scales, clearly marked as "Estimated (offline)".</w:t>
      </w:r>
    </w:p>
    <w:p>
      <w:pPr>
        <w:pStyle w:val="Heading3"/>
      </w:pPr>
      <w:r>
        <w:t>AI Model Configuration</w:t>
      </w:r>
    </w:p>
    <w:p>
      <w:r>
        <w:rPr>
          <w:b/>
          <w:sz w:val="24"/>
        </w:rPr>
        <w:t>AI Provider Models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701"/>
            <w:shd w:fill="14B8A6" w:val="clear"/>
          </w:tcPr>
          <w:p>
            <w:pPr>
              <w:jc w:val="center"/>
            </w:pPr>
            <w:r>
              <w:rPr>
                <w:b/>
                <w:color w:val="FFFFFF"/>
                <w:sz w:val="20"/>
              </w:rPr>
              <w:t>Provider</w:t>
            </w:r>
          </w:p>
        </w:tc>
        <w:tc>
          <w:tcPr>
            <w:tcW w:type="dxa" w:w="2268"/>
            <w:shd w:fill="14B8A6" w:val="clear"/>
          </w:tcPr>
          <w:p>
            <w:pPr>
              <w:jc w:val="center"/>
            </w:pPr>
            <w:r>
              <w:rPr>
                <w:b/>
                <w:color w:val="FFFFFF"/>
                <w:sz w:val="20"/>
              </w:rPr>
              <w:t>Profile Model</w:t>
            </w:r>
          </w:p>
        </w:tc>
        <w:tc>
          <w:tcPr>
            <w:tcW w:type="dxa" w:w="2268"/>
            <w:shd w:fill="14B8A6" w:val="clear"/>
          </w:tcPr>
          <w:p>
            <w:pPr>
              <w:jc w:val="center"/>
            </w:pPr>
            <w:r>
              <w:rPr>
                <w:b/>
                <w:color w:val="FFFFFF"/>
                <w:sz w:val="20"/>
              </w:rPr>
              <w:t>Buddy Model</w:t>
            </w:r>
          </w:p>
        </w:tc>
        <w:tc>
          <w:tcPr>
            <w:tcW w:type="dxa" w:w="2835"/>
            <w:shd w:fill="14B8A6" w:val="clear"/>
          </w:tcPr>
          <w:p>
            <w:pPr>
              <w:jc w:val="center"/>
            </w:pPr>
            <w:r>
              <w:rPr>
                <w:b/>
                <w:color w:val="FFFFFF"/>
                <w:sz w:val="20"/>
              </w:rPr>
              <w:t>Priority</w:t>
            </w:r>
          </w:p>
        </w:tc>
      </w:tr>
      <w:tr>
        <w:tc>
          <w:tcPr>
            <w:tcW w:type="dxa" w:w="1701"/>
          </w:tcPr>
          <w:p>
            <w:r>
              <w:rPr>
                <w:sz w:val="20"/>
              </w:rPr>
              <w:t>DeepSeek</w:t>
            </w:r>
          </w:p>
        </w:tc>
        <w:tc>
          <w:tcPr>
            <w:tcW w:type="dxa" w:w="2268"/>
          </w:tcPr>
          <w:p>
            <w:r>
              <w:rPr>
                <w:sz w:val="20"/>
              </w:rPr>
              <w:t>deepseek-chat</w:t>
            </w:r>
          </w:p>
        </w:tc>
        <w:tc>
          <w:tcPr>
            <w:tcW w:type="dxa" w:w="2268"/>
          </w:tcPr>
          <w:p>
            <w:r>
              <w:rPr>
                <w:sz w:val="20"/>
              </w:rPr>
              <w:t>deepseek-chat</w:t>
            </w:r>
          </w:p>
        </w:tc>
        <w:tc>
          <w:tcPr>
            <w:tcW w:type="dxa" w:w="2835"/>
          </w:tcPr>
          <w:p>
            <w:r>
              <w:rPr>
                <w:sz w:val="20"/>
              </w:rPr>
              <w:t>Primary (if DEEPSEEK_API_KEY set)</w:t>
            </w:r>
          </w:p>
        </w:tc>
      </w:tr>
      <w:tr>
        <w:tc>
          <w:tcPr>
            <w:tcW w:type="dxa" w:w="1701"/>
          </w:tcPr>
          <w:p>
            <w:r>
              <w:rPr>
                <w:sz w:val="20"/>
              </w:rPr>
              <w:t>OpenAI</w:t>
            </w:r>
          </w:p>
        </w:tc>
        <w:tc>
          <w:tcPr>
            <w:tcW w:type="dxa" w:w="2268"/>
          </w:tcPr>
          <w:p>
            <w:r>
              <w:rPr>
                <w:sz w:val="20"/>
              </w:rPr>
              <w:t>gpt-4.1-mini</w:t>
            </w:r>
          </w:p>
        </w:tc>
        <w:tc>
          <w:tcPr>
            <w:tcW w:type="dxa" w:w="2268"/>
          </w:tcPr>
          <w:p>
            <w:r>
              <w:rPr>
                <w:sz w:val="20"/>
              </w:rPr>
              <w:t>gpt-4.1-nano</w:t>
            </w:r>
          </w:p>
        </w:tc>
        <w:tc>
          <w:tcPr>
            <w:tcW w:type="dxa" w:w="2835"/>
          </w:tcPr>
          <w:p>
            <w:r>
              <w:rPr>
                <w:sz w:val="20"/>
              </w:rPr>
              <w:t>Fallback (OPENAI_API_KEY)</w:t>
            </w:r>
          </w:p>
        </w:tc>
      </w:tr>
    </w:tbl>
    <w:p/>
    <w:p>
      <w:pPr>
        <w:pStyle w:val="Heading3"/>
      </w:pPr>
      <w:r>
        <w:t>Catalogue Merging</w:t>
      </w:r>
    </w:p>
    <w:p>
      <w:r>
        <w:rPr>
          <w:b w:val="0"/>
          <w:i w:val="0"/>
        </w:rPr>
        <w:t>When both a catalogue match and AI response are available (e.g., combined majors), the system uses mergeCatalogueWithAi() to prioritize catalogue data while allowing AI to fill gaps. Catalogue course codes always take precedence over AI-generated ones.</w:t>
      </w:r>
    </w:p>
    <w:p>
      <w:pPr>
        <w:pStyle w:val="Heading2"/>
      </w:pPr>
      <w:r>
        <w:t>4.3 Conditioning System</w:t>
      </w:r>
    </w:p>
    <w:p>
      <w:r>
        <w:rPr>
          <w:b w:val="0"/>
          <w:i w:val="0"/>
        </w:rPr>
        <w:t>The conditioning system is Acad's gamified progress framework that breaks academic recovery into measurable, trackable dimensions. It replaces vague "study more" advice with concrete, trackable objectives across multiple conditioning areas.</w:t>
      </w:r>
    </w:p>
    <w:p>
      <w:pPr>
        <w:pStyle w:val="Heading3"/>
      </w:pPr>
      <w:r>
        <w:t>Conditioning Dimensions</w:t>
      </w:r>
    </w:p>
    <w:p>
      <w:pPr>
        <w:pStyle w:val="ListBullet"/>
      </w:pPr>
      <w:r>
        <w:t>Setup Completion — programme profile, semester history, focus courses, first task, habits, flashcards (weighted scoring)</w:t>
      </w:r>
    </w:p>
    <w:p>
      <w:pPr>
        <w:pStyle w:val="ListBullet"/>
      </w:pPr>
      <w:r>
        <w:t>Daily Conditioning — task completion count and day streak</w:t>
      </w:r>
    </w:p>
    <w:p>
      <w:pPr>
        <w:pStyle w:val="ListBullet"/>
      </w:pPr>
      <w:r>
        <w:t>Flashcard Mastery — cards created, reviewed, and mastered</w:t>
      </w:r>
    </w:p>
    <w:p>
      <w:pPr>
        <w:pStyle w:val="ListBullet"/>
      </w:pPr>
      <w:r>
        <w:t>Wellness Check-ins — daily energy/focus/mood/stress logs</w:t>
      </w:r>
    </w:p>
    <w:p>
      <w:pPr>
        <w:pStyle w:val="ListBullet"/>
      </w:pPr>
      <w:r>
        <w:t>Portfolio Projects — unlocked based on consistency metrics</w:t>
      </w:r>
    </w:p>
    <w:p>
      <w:pPr>
        <w:pStyle w:val="ListBullet"/>
      </w:pPr>
      <w:r>
        <w:t>Timeline — comeback window countdown with percentage progress</w:t>
      </w:r>
    </w:p>
    <w:p>
      <w:pPr>
        <w:pStyle w:val="Heading3"/>
      </w:pPr>
      <w:r>
        <w:t>Daily Tasks</w:t>
      </w:r>
    </w:p>
    <w:p>
      <w:r>
        <w:rPr>
          <w:b w:val="0"/>
          <w:i w:val="0"/>
        </w:rPr>
        <w:t>Daily tasks are adaptive micro-assignments (10-minute timer) drawn from a bank of 5 task types: Structured Output Drill (Writing), Concept Mapping Session (Analysis), Applied Problem Set (Technical), Reflection Log (Meta-cognition), Speed Synthesis (Communication). Tasks adapt based on profile sharpness (very dull = shorter tasks) and progression status (regressed = fundamentals focus, improved = depth push). A new random task is loaded each time (never repeats consecutively).</w:t>
      </w:r>
    </w:p>
    <w:p>
      <w:pPr>
        <w:pStyle w:val="Heading2"/>
      </w:pPr>
      <w:r>
        <w:t>4.4 Daily Log Locking</w:t>
      </w:r>
    </w:p>
    <w:p>
      <w:r>
        <w:rPr>
          <w:b w:val="0"/>
          <w:i w:val="0"/>
        </w:rPr>
        <w:t>The daily log (wellness tracker) uses date-based locking. Each log entry is keyed by date (ISO date string YYYY-MM-DD). The todayLog property checks if a log exists for the current date, and if so, shows a "Logged" badge instead of the check-in form. This means users can only log once per calendar day. The study calendar heatmap visualizes all logged dates over a 6-week rolling window, with color intensity mapped to study hours for that day.</w:t>
      </w:r>
    </w:p>
    <w:p>
      <w:pPr>
        <w:pStyle w:val="Heading3"/>
      </w:pPr>
      <w:r>
        <w:t>Study Room Locking (Nav)</w:t>
      </w:r>
    </w:p>
    <w:p>
      <w:r>
        <w:rPr>
          <w:b w:val="0"/>
          <w:i w:val="0"/>
        </w:rPr>
        <w:t>Separately, the StudyRoom component (for study groups) implements a more aggressive locking mechanism. When studyRoomLocked is true, the Nav is hidden and navigation to any non-study-room page is blocked. This creates a focused, distraction-free study session. The lock is released when the user leaves the study room via the onLeave callback.</w:t>
      </w:r>
    </w:p>
    <w:p>
      <w:pPr>
        <w:pStyle w:val="Heading2"/>
      </w:pPr>
      <w:r>
        <w:t>4.5 Compound Growth Model</w:t>
      </w:r>
    </w:p>
    <w:p>
      <w:r>
        <w:rPr>
          <w:b w:val="0"/>
          <w:i w:val="0"/>
        </w:rPr>
        <w:t>The compound growth model is the core philosophy behind Acad. Every semester logged enriches future analytics. The platform explicitly communicates this: "Every semester you log compounds into richer analytics, deeper insights, and a more personalised experience."</w:t>
      </w:r>
    </w:p>
    <w:p>
      <w:pPr>
        <w:pStyle w:val="Heading3"/>
      </w:pPr>
      <w:r>
        <w:t>How Data Compounds</w:t>
      </w:r>
    </w:p>
    <w:p>
      <w:pPr>
        <w:pStyle w:val="ListBullet"/>
      </w:pPr>
      <w:r>
        <w:t>Semester History — each term adds GPA data points for trend analysis (improving/declining/stable)</w:t>
      </w:r>
    </w:p>
    <w:p>
      <w:pPr>
        <w:pStyle w:val="ListBullet"/>
      </w:pPr>
      <w:r>
        <w:t>Topic Deltas — comparing course mastery between semesters reveals which topics improved or regressed</w:t>
      </w:r>
    </w:p>
    <w:p>
      <w:pPr>
        <w:pStyle w:val="ListBullet"/>
      </w:pPr>
      <w:r>
        <w:t>Improvement Suggestions — deriveImprovementSuggestions() analyzes grade patterns across all logged semesters to identify the weakest areas for focus course selection</w:t>
      </w:r>
    </w:p>
    <w:p>
      <w:pPr>
        <w:pStyle w:val="ListBullet"/>
      </w:pPr>
      <w:r>
        <w:t>Curriculum Building — each semester's courses populate the academic profile curriculum map, making future semester setup faster</w:t>
      </w:r>
    </w:p>
    <w:p>
      <w:pPr>
        <w:pStyle w:val="ListBullet"/>
      </w:pPr>
      <w:r>
        <w:t>Progression Status — computed across all semesters (baseline &gt; improved/regressed/stable), adapts daily task difficulty</w:t>
      </w:r>
    </w:p>
    <w:p>
      <w:pPr>
        <w:pStyle w:val="Heading2"/>
      </w:pPr>
      <w:r>
        <w:t>4.6 Tutorial System</w:t>
      </w:r>
    </w:p>
    <w:p>
      <w:r>
        <w:rPr>
          <w:b w:val="0"/>
          <w:i w:val="0"/>
        </w:rPr>
        <w:t>Acad includes a dual-layer tutorial system: individual FeatureTooltips and full-page TutorialOverlays.</w:t>
      </w:r>
    </w:p>
    <w:p>
      <w:pPr>
        <w:pStyle w:val="Heading3"/>
      </w:pPr>
      <w:r>
        <w:t>FeatureTooltip Component</w:t>
      </w:r>
    </w:p>
    <w:p>
      <w:pPr>
        <w:pStyle w:val="ListBullet"/>
      </w:pPr>
      <w:r>
        <w:t>Positioned tooltip anchored to a trigger element (auto-centers below)</w:t>
      </w:r>
    </w:p>
    <w:p>
      <w:pPr>
        <w:pStyle w:val="ListBullet"/>
      </w:pPr>
      <w:r>
        <w:t>localStorage persistence: dismissed tooltips never reappear (key: acad_ft_{featureKey})</w:t>
      </w:r>
    </w:p>
    <w:p>
      <w:pPr>
        <w:pStyle w:val="ListBullet"/>
      </w:pPr>
      <w:r>
        <w:t>initiallyOpen prop: auto-opens with 400ms delay on first render</w:t>
      </w:r>
    </w:p>
    <w:p>
      <w:pPr>
        <w:pStyle w:val="ListBullet"/>
      </w:pPr>
      <w:r>
        <w:t>Responsive: recalculates position on window resize/scroll</w:t>
      </w:r>
    </w:p>
    <w:p>
      <w:pPr>
        <w:pStyle w:val="ListBullet"/>
      </w:pPr>
      <w:r>
        <w:t>Accessible: role="tooltip", dismiss button with aria-label</w:t>
      </w:r>
    </w:p>
    <w:p>
      <w:pPr>
        <w:pStyle w:val="Heading3"/>
      </w:pPr>
      <w:r>
        <w:t>TutorialOverlay Component</w:t>
      </w:r>
    </w:p>
    <w:p>
      <w:pPr>
        <w:pStyle w:val="ListBullet"/>
      </w:pPr>
      <w:r>
        <w:t>Full-page guided tutorial for each major page (dashboard, courses, etc.)</w:t>
      </w:r>
    </w:p>
    <w:p>
      <w:pPr>
        <w:pStyle w:val="ListBullet"/>
      </w:pPr>
      <w:r>
        <w:t>Triggered on first dashboard visit after onboarding (isNewAccount flag)</w:t>
      </w:r>
    </w:p>
    <w:p>
      <w:pPr>
        <w:pStyle w:val="ListBullet"/>
      </w:pPr>
      <w:r>
        <w:t>Manual trigger via "Guide" button in the Nav sidebar</w:t>
      </w:r>
    </w:p>
    <w:p>
      <w:pPr>
        <w:pStyle w:val="ListBullet"/>
      </w:pPr>
      <w:r>
        <w:t>Tutorial mode toggle persisted in localStorage (acad-tutorial-mode)</w:t>
      </w:r>
    </w:p>
    <w:p>
      <w:pPr>
        <w:pStyle w:val="ListBullet"/>
      </w:pPr>
      <w:r>
        <w:t>Dismiss on page change or user action</w:t>
      </w:r>
    </w:p>
    <w:p>
      <w:pPr>
        <w:pStyle w:val="Heading2"/>
      </w:pPr>
      <w:r>
        <w:t>4.7 CORS Security</w:t>
      </w:r>
    </w:p>
    <w:p>
      <w:r>
        <w:rPr>
          <w:b w:val="0"/>
          <w:i w:val="0"/>
        </w:rPr>
        <w:t>All Supabase Edge Functions use a shared CORS utility (cors.ts) that implements an allowlist approach rather than wildcard origins. This prevents unauthorized cross-origin requests.</w:t>
      </w:r>
    </w:p>
    <w:p>
      <w:pPr>
        <w:pStyle w:val="Heading3"/>
      </w:pPr>
      <w:r>
        <w:t>CORS Implementation</w:t>
      </w:r>
    </w:p>
    <w:p>
      <w:pPr>
        <w:pStyle w:val="ListBullet"/>
      </w:pPr>
      <w:r>
        <w:t>Allowlist: localhost:8888, localhost:5173, localhost:3000</w:t>
      </w:r>
    </w:p>
    <w:p>
      <w:pPr>
        <w:pStyle w:val="ListBullet"/>
      </w:pPr>
      <w:r>
        <w:t>Deploy URL matching: dynamically checks DEPLOY_URL or URL environment variable</w:t>
      </w:r>
    </w:p>
    <w:p>
      <w:pPr>
        <w:pStyle w:val="ListBullet"/>
      </w:pPr>
      <w:r>
        <w:t>Non-matching origins receive Access-Control-Allow-Origin: "null"</w:t>
      </w:r>
    </w:p>
    <w:p>
      <w:pPr>
        <w:pStyle w:val="ListBullet"/>
      </w:pPr>
      <w:r>
        <w:t>Allowed headers: authorization, x-client-info, apikey, content-type</w:t>
      </w:r>
    </w:p>
    <w:p>
      <w:pPr>
        <w:pStyle w:val="ListBullet"/>
      </w:pPr>
      <w:r>
        <w:t>Allowed methods: GET, POST, OPTIONS, DELETE</w:t>
      </w:r>
    </w:p>
    <w:p>
      <w:pPr>
        <w:pStyle w:val="ListBullet"/>
      </w:pPr>
      <w:r>
        <w:t>Every edge function handles OPTIONS preflight requests</w:t>
      </w:r>
    </w:p>
    <w:p>
      <w:pPr>
        <w:pStyle w:val="Heading2"/>
      </w:pPr>
      <w:r>
        <w:t>4.8 AI Study Buddy (Deactivated)</w:t>
      </w:r>
    </w:p>
    <w:p>
      <w:r>
        <w:rPr>
          <w:b w:val="0"/>
          <w:i w:val="0"/>
        </w:rPr>
        <w:t>The AI Study Buddy feature has been deactivated but its code is fully retained. The buddy-chat edge function implements a conversational AI tutor with three teaching methods: Socratic (guided questions), Direct (clear explanations), and Feynman (simplification and analogies). The frontend page (AIBuddy.jsx) and Nav entry are commented out. The edge function remains deployable and tested.</w:t>
      </w:r>
    </w:p>
    <w:p>
      <w:pPr>
        <w:pStyle w:val="Heading3"/>
      </w:pPr>
      <w:r>
        <w:t>Buddy Chat Architecture (Retained)</w:t>
      </w:r>
    </w:p>
    <w:p>
      <w:pPr>
        <w:pStyle w:val="ListBullet"/>
      </w:pPr>
      <w:r>
        <w:t>Edge function: buddy-chat — accepts messages, subject, and method parameters</w:t>
      </w:r>
    </w:p>
    <w:p>
      <w:pPr>
        <w:pStyle w:val="ListBullet"/>
      </w:pPr>
      <w:r>
        <w:t>Method-specific system prompts for Socratic, Direct, and Feynman teaching styles</w:t>
      </w:r>
    </w:p>
    <w:p>
      <w:pPr>
        <w:pStyle w:val="ListBullet"/>
      </w:pPr>
      <w:r>
        <w:t>Uses the same AI provider abstraction (DeepSeek priority, OpenAI fallback)</w:t>
      </w:r>
    </w:p>
    <w:p>
      <w:pPr>
        <w:pStyle w:val="ListBullet"/>
      </w:pPr>
      <w:r>
        <w:t>Response limited to 512 tokens for concise tutoring</w:t>
      </w:r>
    </w:p>
    <w:p>
      <w:pPr>
        <w:pStyle w:val="Heading2"/>
      </w:pPr>
      <w:r>
        <w:t>4.9 Authentication System</w:t>
      </w:r>
    </w:p>
    <w:p>
      <w:r>
        <w:rPr>
          <w:b w:val="0"/>
          <w:i w:val="0"/>
        </w:rPr>
        <w:t>Acad supports both cloud (Supabase) and local (device-only) authentication modes, with robust offline resilience and session management.</w:t>
      </w:r>
    </w:p>
    <w:p>
      <w:pPr>
        <w:pStyle w:val="Heading3"/>
      </w:pPr>
      <w:r>
        <w:t>Auth Features</w:t>
      </w:r>
    </w:p>
    <w:p>
      <w:pPr>
        <w:pStyle w:val="ListBullet"/>
      </w:pPr>
      <w:r>
        <w:t>Dual mode: cloud (Supabase Auth) with email/password, local (device-only localStorage)</w:t>
      </w:r>
    </w:p>
    <w:p>
      <w:pPr>
        <w:pStyle w:val="ListBullet"/>
      </w:pPr>
      <w:r>
        <w:t>Session persistence: Supabase SDK configured with persistSession: true, autoRefreshToken: true</w:t>
      </w:r>
    </w:p>
    <w:p>
      <w:pPr>
        <w:pStyle w:val="ListBullet"/>
      </w:pPr>
      <w:r>
        <w:t>Session race: 8-second timeout racing against Supabase getSession() to prevent infinite loading</w:t>
      </w:r>
    </w:p>
    <w:p>
      <w:pPr>
        <w:pStyle w:val="ListBullet"/>
      </w:pPr>
      <w:r>
        <w:t>Offline resilience: local mode operates entirely without a backend; cloud mode degrades to local cache</w:t>
      </w:r>
    </w:p>
    <w:p>
      <w:pPr>
        <w:pStyle w:val="ListBullet"/>
      </w:pPr>
      <w:r>
        <w:t>Auth state listener: onAuthStateChange subscription for real-time session updates</w:t>
      </w:r>
    </w:p>
    <w:p>
      <w:pPr>
        <w:pStyle w:val="ListBullet"/>
      </w:pPr>
      <w:r>
        <w:t>Cloud-to-local hydration: hydrateLocalFromCloud() pulls data on sign-in; persists locally for offline access</w:t>
      </w:r>
    </w:p>
    <w:p>
      <w:pPr>
        <w:pStyle w:val="ListBullet"/>
      </w:pPr>
      <w:r>
        <w:t>Sign-out: clears Supabase session + sets user to null in state</w:t>
      </w:r>
    </w:p>
    <w:p>
      <w:pPr>
        <w:pStyle w:val="ListBullet"/>
      </w:pPr>
      <w:r>
        <w:t>Account deletion: edge function handles GDPR-compliant cascade (user_data, profiles, auth.user)</w:t>
      </w:r>
    </w:p>
    <w:p>
      <w:r>
        <w:br w:type="page"/>
      </w:r>
    </w:p>
    <w:p>
      <w:pPr>
        <w:pStyle w:val="Heading1"/>
      </w:pPr>
      <w:r>
        <w:t>5. Subscription Model</w:t>
      </w:r>
    </w:p>
    <w:p>
      <w:r>
        <w:rPr>
          <w:b w:val="0"/>
          <w:i w:val="0"/>
        </w:rPr>
        <w:t>Acad operates on a 3-month subscription model where the selected duration determines the feature scope. Rather than locking features behind arbitrary paywalls, Acad scales the toolkit to match the time available — preventing overwhelm while providing appropriate depth.</w:t>
      </w:r>
    </w:p>
    <w:p>
      <w:r>
        <w:rPr>
          <w:b/>
          <w:sz w:val="24"/>
        </w:rPr>
        <w:t>Plan Tiers</w:t>
      </w:r>
    </w:p>
    <w:tbl>
      <w:tblPr>
        <w:tblStyle w:val="LightGrid-Accent1"/>
        <w:tblW w:type="auto" w:w="0"/>
        <w:jc w:val="center"/>
        <w:tblLook w:firstColumn="1" w:firstRow="1" w:lastColumn="0" w:lastRow="0" w:noHBand="0" w:noVBand="1" w:val="04A0"/>
      </w:tblPr>
      <w:tblGrid>
        <w:gridCol w:w="3120"/>
        <w:gridCol w:w="3120"/>
        <w:gridCol w:w="3120"/>
      </w:tblGrid>
      <w:tr>
        <w:tc>
          <w:tcPr>
            <w:tcW w:type="dxa" w:w="2268"/>
            <w:shd w:fill="14B8A6" w:val="clear"/>
          </w:tcPr>
          <w:p>
            <w:pPr>
              <w:jc w:val="center"/>
            </w:pPr>
            <w:r>
              <w:rPr>
                <w:b/>
                <w:color w:val="FFFFFF"/>
                <w:sz w:val="20"/>
              </w:rPr>
              <w:t>Recovery Window</w:t>
            </w:r>
          </w:p>
        </w:tc>
        <w:tc>
          <w:tcPr>
            <w:tcW w:type="dxa" w:w="1701"/>
            <w:shd w:fill="14B8A6" w:val="clear"/>
          </w:tcPr>
          <w:p>
            <w:pPr>
              <w:jc w:val="center"/>
            </w:pPr>
            <w:r>
              <w:rPr>
                <w:b/>
                <w:color w:val="FFFFFF"/>
                <w:sz w:val="20"/>
              </w:rPr>
              <w:t>Max Courses</w:t>
            </w:r>
          </w:p>
        </w:tc>
        <w:tc>
          <w:tcPr>
            <w:tcW w:type="dxa" w:w="5102"/>
            <w:shd w:fill="14B8A6" w:val="clear"/>
          </w:tcPr>
          <w:p>
            <w:pPr>
              <w:jc w:val="center"/>
            </w:pPr>
            <w:r>
              <w:rPr>
                <w:b/>
                <w:color w:val="FFFFFF"/>
                <w:sz w:val="20"/>
              </w:rPr>
              <w:t>Tools Included</w:t>
            </w:r>
          </w:p>
        </w:tc>
      </w:tr>
      <w:tr>
        <w:tc>
          <w:tcPr>
            <w:tcW w:type="dxa" w:w="2268"/>
          </w:tcPr>
          <w:p>
            <w:r>
              <w:rPr>
                <w:sz w:val="20"/>
              </w:rPr>
              <w:t>2-3 weeks</w:t>
            </w:r>
          </w:p>
        </w:tc>
        <w:tc>
          <w:tcPr>
            <w:tcW w:type="dxa" w:w="1701"/>
          </w:tcPr>
          <w:p>
            <w:r>
              <w:rPr>
                <w:sz w:val="20"/>
              </w:rPr>
              <w:t>1 course</w:t>
            </w:r>
          </w:p>
        </w:tc>
        <w:tc>
          <w:tcPr>
            <w:tcW w:type="dxa" w:w="5102"/>
          </w:tcPr>
          <w:p>
            <w:r>
              <w:rPr>
                <w:sz w:val="20"/>
              </w:rPr>
              <w:t>Flashcards</w:t>
            </w:r>
          </w:p>
        </w:tc>
      </w:tr>
      <w:tr>
        <w:tc>
          <w:tcPr>
            <w:tcW w:type="dxa" w:w="2268"/>
          </w:tcPr>
          <w:p>
            <w:r>
              <w:rPr>
                <w:sz w:val="20"/>
              </w:rPr>
              <w:t>1 month</w:t>
            </w:r>
          </w:p>
        </w:tc>
        <w:tc>
          <w:tcPr>
            <w:tcW w:type="dxa" w:w="1701"/>
          </w:tcPr>
          <w:p>
            <w:r>
              <w:rPr>
                <w:sz w:val="20"/>
              </w:rPr>
              <w:t>2 courses</w:t>
            </w:r>
          </w:p>
        </w:tc>
        <w:tc>
          <w:tcPr>
            <w:tcW w:type="dxa" w:w="5102"/>
          </w:tcPr>
          <w:p>
            <w:r>
              <w:rPr>
                <w:sz w:val="20"/>
              </w:rPr>
              <w:t>Flashcards, Wellness, Reports</w:t>
            </w:r>
          </w:p>
        </w:tc>
      </w:tr>
      <w:tr>
        <w:tc>
          <w:tcPr>
            <w:tcW w:type="dxa" w:w="2268"/>
          </w:tcPr>
          <w:p>
            <w:r>
              <w:rPr>
                <w:sz w:val="20"/>
              </w:rPr>
              <w:t>2 months</w:t>
            </w:r>
          </w:p>
        </w:tc>
        <w:tc>
          <w:tcPr>
            <w:tcW w:type="dxa" w:w="1701"/>
          </w:tcPr>
          <w:p>
            <w:r>
              <w:rPr>
                <w:sz w:val="20"/>
              </w:rPr>
              <w:t>4 courses</w:t>
            </w:r>
          </w:p>
        </w:tc>
        <w:tc>
          <w:tcPr>
            <w:tcW w:type="dxa" w:w="5102"/>
          </w:tcPr>
          <w:p>
            <w:r>
              <w:rPr>
                <w:sz w:val="20"/>
              </w:rPr>
              <w:t>Flashcards, Wellness, Reports, Projects, Study Groups</w:t>
            </w:r>
          </w:p>
        </w:tc>
      </w:tr>
      <w:tr>
        <w:tc>
          <w:tcPr>
            <w:tcW w:type="dxa" w:w="2268"/>
          </w:tcPr>
          <w:p>
            <w:r>
              <w:rPr>
                <w:sz w:val="20"/>
              </w:rPr>
              <w:t>3 months</w:t>
            </w:r>
          </w:p>
        </w:tc>
        <w:tc>
          <w:tcPr>
            <w:tcW w:type="dxa" w:w="1701"/>
          </w:tcPr>
          <w:p>
            <w:r>
              <w:rPr>
                <w:sz w:val="20"/>
              </w:rPr>
              <w:t>6 courses</w:t>
            </w:r>
          </w:p>
        </w:tc>
        <w:tc>
          <w:tcPr>
            <w:tcW w:type="dxa" w:w="5102"/>
          </w:tcPr>
          <w:p>
            <w:r>
              <w:rPr>
                <w:sz w:val="20"/>
              </w:rPr>
              <w:t>Full toolkit (all features unlocked)</w:t>
            </w:r>
          </w:p>
        </w:tc>
      </w:tr>
    </w:tbl>
    <w:p/>
    <w:p>
      <w:pPr>
        <w:pStyle w:val="Heading3"/>
      </w:pPr>
      <w:r>
        <w:t>Plan Mechanics</w:t>
      </w:r>
    </w:p>
    <w:p>
      <w:pPr>
        <w:pStyle w:val="ListBullet"/>
      </w:pPr>
      <w:r>
        <w:t>Course capacity is enforced by canAddCourse() — prevents exceeding plan limits</w:t>
      </w:r>
    </w:p>
    <w:p>
      <w:pPr>
        <w:pStyle w:val="ListBullet"/>
      </w:pPr>
      <w:r>
        <w:t>Tool gating is enforced in App.jsx navigate() — non-enabled tools redirect to dashboard with gate message</w:t>
      </w:r>
    </w:p>
    <w:p>
      <w:pPr>
        <w:pStyle w:val="ListBullet"/>
      </w:pPr>
      <w:r>
        <w:t>Gate message persisted in sessionStorage for cross-navigation display</w:t>
      </w:r>
    </w:p>
    <w:p>
      <w:pPr>
        <w:pStyle w:val="ListBullet"/>
      </w:pPr>
      <w:r>
        <w:t>Advancing to a new semester unlocks when the comeback window countdown ends</w:t>
      </w:r>
    </w:p>
    <w:p>
      <w:pPr>
        <w:pStyle w:val="ListBullet"/>
      </w:pPr>
      <w:r>
        <w:t>Past semesters can be logged anytime regardless of countdown state</w:t>
      </w:r>
    </w:p>
    <w:p>
      <w:pPr>
        <w:pStyle w:val="ListBullet"/>
      </w:pPr>
      <w:r>
        <w:t>Settings and Manage Plan pages are always accessible (bypass gates)</w:t>
      </w:r>
    </w:p>
    <w:p>
      <w:pPr>
        <w:pStyle w:val="ListBullet"/>
      </w:pPr>
      <w:r>
        <w:t>Study Room is always accessible if study groups are enabled</w:t>
      </w:r>
    </w:p>
    <w:p>
      <w:pPr>
        <w:pStyle w:val="Heading3"/>
      </w:pPr>
      <w:r>
        <w:t>Value Progression</w:t>
      </w:r>
    </w:p>
    <w:p>
      <w:r>
        <w:rPr>
          <w:b w:val="0"/>
          <w:i w:val="0"/>
        </w:rPr>
        <w:t>The plan scales progressively: shorter windows focus exclusively on core course recovery with flashcards for retention. As the window extends, wellness tracking, learning reports, portfolio projects, and collaborative study groups unlock. The full 3-month plan unlocks everything. This design reflects the product philosophy that academic recovery quality depends on available time — a 2-week sprint needs different tools than a 3-month structured recovery.</w:t>
      </w:r>
    </w:p>
    <w:p>
      <w:r>
        <w:br w:type="page"/>
      </w:r>
    </w:p>
    <w:p>
      <w:pPr>
        <w:pStyle w:val="Heading1"/>
      </w:pPr>
      <w:r>
        <w:t>6. Backend Architecture</w:t>
      </w:r>
    </w:p>
    <w:p>
      <w:pPr>
        <w:pStyle w:val="Heading2"/>
      </w:pPr>
      <w:r>
        <w:t>6.1 Supabase Tables</w:t>
      </w:r>
    </w:p>
    <w:p>
      <w:r>
        <w:rPr>
          <w:b w:val="0"/>
          <w:i w:val="0"/>
        </w:rPr>
        <w:t>The database schema uses two tables with Row Level Security (RLS) for per-user data isolation. Data is stored in JSON buckets rather than normalized relational tables, providing schema flexibility while maintaining RLS protection.</w:t>
      </w:r>
    </w:p>
    <w:p>
      <w:r>
        <w:rPr>
          <w:b/>
          <w:sz w:val="24"/>
        </w:rPr>
        <w:t>Database Tables</w:t>
      </w:r>
    </w:p>
    <w:tbl>
      <w:tblPr>
        <w:tblStyle w:val="LightGrid-Accent1"/>
        <w:tblW w:type="auto" w:w="0"/>
        <w:jc w:val="center"/>
        <w:tblLook w:firstColumn="1" w:firstRow="1" w:lastColumn="0" w:lastRow="0" w:noHBand="0" w:noVBand="1" w:val="04A0"/>
      </w:tblPr>
      <w:tblGrid>
        <w:gridCol w:w="3120"/>
        <w:gridCol w:w="3120"/>
        <w:gridCol w:w="3120"/>
      </w:tblGrid>
      <w:tr>
        <w:tc>
          <w:tcPr>
            <w:tcW w:type="dxa" w:w="1417"/>
            <w:shd w:fill="14B8A6" w:val="clear"/>
          </w:tcPr>
          <w:p>
            <w:pPr>
              <w:jc w:val="center"/>
            </w:pPr>
            <w:r>
              <w:rPr>
                <w:b/>
                <w:color w:val="FFFFFF"/>
                <w:sz w:val="20"/>
              </w:rPr>
              <w:t>Table</w:t>
            </w:r>
          </w:p>
        </w:tc>
        <w:tc>
          <w:tcPr>
            <w:tcW w:type="dxa" w:w="3969"/>
            <w:shd w:fill="14B8A6" w:val="clear"/>
          </w:tcPr>
          <w:p>
            <w:pPr>
              <w:jc w:val="center"/>
            </w:pPr>
            <w:r>
              <w:rPr>
                <w:b/>
                <w:color w:val="FFFFFF"/>
                <w:sz w:val="20"/>
              </w:rPr>
              <w:t>Columns</w:t>
            </w:r>
          </w:p>
        </w:tc>
        <w:tc>
          <w:tcPr>
            <w:tcW w:type="dxa" w:w="3685"/>
            <w:shd w:fill="14B8A6" w:val="clear"/>
          </w:tcPr>
          <w:p>
            <w:pPr>
              <w:jc w:val="center"/>
            </w:pPr>
            <w:r>
              <w:rPr>
                <w:b/>
                <w:color w:val="FFFFFF"/>
                <w:sz w:val="20"/>
              </w:rPr>
              <w:t>Purpose</w:t>
            </w:r>
          </w:p>
        </w:tc>
      </w:tr>
      <w:tr>
        <w:tc>
          <w:tcPr>
            <w:tcW w:type="dxa" w:w="1417"/>
          </w:tcPr>
          <w:p>
            <w:r>
              <w:rPr>
                <w:sz w:val="20"/>
              </w:rPr>
              <w:t>profiles</w:t>
            </w:r>
          </w:p>
        </w:tc>
        <w:tc>
          <w:tcPr>
            <w:tcW w:type="dxa" w:w="3969"/>
          </w:tcPr>
          <w:p>
            <w:r>
              <w:rPr>
                <w:sz w:val="20"/>
              </w:rPr>
              <w:t>id (UUID PK, FK to auth.users), name, email, created_at, updated_at</w:t>
            </w:r>
          </w:p>
        </w:tc>
        <w:tc>
          <w:tcPr>
            <w:tcW w:type="dxa" w:w="3685"/>
          </w:tcPr>
          <w:p>
            <w:r>
              <w:rPr>
                <w:sz w:val="20"/>
              </w:rPr>
              <w:t>User profile metadata; auto-created via trigger on signup</w:t>
            </w:r>
          </w:p>
        </w:tc>
      </w:tr>
      <w:tr>
        <w:tc>
          <w:tcPr>
            <w:tcW w:type="dxa" w:w="1417"/>
          </w:tcPr>
          <w:p>
            <w:r>
              <w:rPr>
                <w:sz w:val="20"/>
              </w:rPr>
              <w:t>user_data</w:t>
            </w:r>
          </w:p>
        </w:tc>
        <w:tc>
          <w:tcPr>
            <w:tcW w:type="dxa" w:w="3969"/>
          </w:tcPr>
          <w:p>
            <w:r>
              <w:rPr>
                <w:sz w:val="20"/>
              </w:rPr>
              <w:t>user_id (UUID, FK to auth.users), bucket (text, enum: scholar/courses/flashcards/game/habits/forge/semesters), payload (JSONB), updated_at</w:t>
            </w:r>
          </w:p>
        </w:tc>
        <w:tc>
          <w:tcPr>
            <w:tcW w:type="dxa" w:w="3685"/>
          </w:tcPr>
          <w:p>
            <w:r>
              <w:rPr>
                <w:sz w:val="20"/>
              </w:rPr>
              <w:t>Per-user JSON data buckets for all application state; composite PK (user_id, bucket)</w:t>
            </w:r>
          </w:p>
        </w:tc>
      </w:tr>
    </w:tbl>
    <w:p/>
    <w:p>
      <w:pPr>
        <w:pStyle w:val="Heading3"/>
      </w:pPr>
      <w:r>
        <w:t>RLS Policies</w:t>
      </w:r>
    </w:p>
    <w:p>
      <w:pPr>
        <w:pStyle w:val="ListBullet"/>
      </w:pPr>
      <w:r>
        <w:t>profiles: SELECT, INSERT, UPDATE — all restricted to auth.uid() = id</w:t>
      </w:r>
    </w:p>
    <w:p>
      <w:pPr>
        <w:pStyle w:val="ListBullet"/>
      </w:pPr>
      <w:r>
        <w:t>user_data: SELECT, INSERT, UPDATE, DELETE — all restricted to auth.uid() = user_id</w:t>
      </w:r>
    </w:p>
    <w:p>
      <w:pPr>
        <w:pStyle w:val="ListBullet"/>
      </w:pPr>
      <w:r>
        <w:t>Database trigger: on_auth_user_created — automatically inserts profile row and 7 user_data bucket rows (scholar, courses, flashcards, game, habits, forge, semesters) on signup</w:t>
      </w:r>
    </w:p>
    <w:p>
      <w:pPr>
        <w:pStyle w:val="Heading3"/>
      </w:pPr>
      <w:r>
        <w:t>Data Buckets</w:t>
      </w:r>
    </w:p>
    <w:p>
      <w:pPr>
        <w:pStyle w:val="ListBullet"/>
      </w:pPr>
      <w:r>
        <w:t>scholar — user profile, streak, metrics, settings, projects, plan configuration</w:t>
      </w:r>
    </w:p>
    <w:p>
      <w:pPr>
        <w:pStyle w:val="ListBullet"/>
      </w:pPr>
      <w:r>
        <w:t>courses — course records with topics, assignments, exams</w:t>
      </w:r>
    </w:p>
    <w:p>
      <w:pPr>
        <w:pStyle w:val="ListBullet"/>
      </w:pPr>
      <w:r>
        <w:t>flashcards — spaced repetition cards with scheduling data</w:t>
      </w:r>
    </w:p>
    <w:p>
      <w:pPr>
        <w:pStyle w:val="ListBullet"/>
      </w:pPr>
      <w:r>
        <w:t>game — XP, achievements, challenge progress</w:t>
      </w:r>
    </w:p>
    <w:p>
      <w:pPr>
        <w:pStyle w:val="ListBullet"/>
      </w:pPr>
      <w:r>
        <w:t>habits — daily wellness logs (energy, focus, stress, mood, study hours)</w:t>
      </w:r>
    </w:p>
    <w:p>
      <w:pPr>
        <w:pStyle w:val="ListBullet"/>
      </w:pPr>
      <w:r>
        <w:t>forge — project workspace data</w:t>
      </w:r>
    </w:p>
    <w:p>
      <w:pPr>
        <w:pStyle w:val="ListBullet"/>
      </w:pPr>
      <w:r>
        <w:t>semesters — semester records, snapshots, grade history, academic profile</w:t>
      </w:r>
    </w:p>
    <w:p>
      <w:pPr>
        <w:pStyle w:val="Heading2"/>
      </w:pPr>
      <w:r>
        <w:t>6.2 Edge Functions</w:t>
      </w:r>
    </w:p>
    <w:p>
      <w:r>
        <w:rPr>
          <w:b/>
          <w:sz w:val="24"/>
        </w:rPr>
        <w:t>Edge Function Details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268"/>
            <w:shd w:fill="14B8A6" w:val="clear"/>
          </w:tcPr>
          <w:p>
            <w:pPr>
              <w:jc w:val="center"/>
            </w:pPr>
            <w:r>
              <w:rPr>
                <w:b/>
                <w:color w:val="FFFFFF"/>
                <w:sz w:val="20"/>
              </w:rPr>
              <w:t>Function</w:t>
            </w:r>
          </w:p>
        </w:tc>
        <w:tc>
          <w:tcPr>
            <w:tcW w:type="dxa" w:w="2268"/>
            <w:shd w:fill="14B8A6" w:val="clear"/>
          </w:tcPr>
          <w:p>
            <w:pPr>
              <w:jc w:val="center"/>
            </w:pPr>
            <w:r>
              <w:rPr>
                <w:b/>
                <w:color w:val="FFFFFF"/>
                <w:sz w:val="20"/>
              </w:rPr>
              <w:t>Endpoint</w:t>
            </w:r>
          </w:p>
        </w:tc>
        <w:tc>
          <w:tcPr>
            <w:tcW w:type="dxa" w:w="1134"/>
            <w:shd w:fill="14B8A6" w:val="clear"/>
          </w:tcPr>
          <w:p>
            <w:pPr>
              <w:jc w:val="center"/>
            </w:pPr>
            <w:r>
              <w:rPr>
                <w:b/>
                <w:color w:val="FFFFFF"/>
                <w:sz w:val="20"/>
              </w:rPr>
              <w:t>Method</w:t>
            </w:r>
          </w:p>
        </w:tc>
        <w:tc>
          <w:tcPr>
            <w:tcW w:type="dxa" w:w="1701"/>
            <w:shd w:fill="14B8A6" w:val="clear"/>
          </w:tcPr>
          <w:p>
            <w:pPr>
              <w:jc w:val="center"/>
            </w:pPr>
            <w:r>
              <w:rPr>
                <w:b/>
                <w:color w:val="FFFFFF"/>
                <w:sz w:val="20"/>
              </w:rPr>
              <w:t>Auth</w:t>
            </w:r>
          </w:p>
        </w:tc>
        <w:tc>
          <w:tcPr>
            <w:tcW w:type="dxa" w:w="3969"/>
            <w:shd w:fill="14B8A6" w:val="clear"/>
          </w:tcPr>
          <w:p>
            <w:pPr>
              <w:jc w:val="center"/>
            </w:pPr>
            <w:r>
              <w:rPr>
                <w:b/>
                <w:color w:val="FFFFFF"/>
                <w:sz w:val="20"/>
              </w:rPr>
              <w:t>Purpose</w:t>
            </w:r>
          </w:p>
        </w:tc>
      </w:tr>
      <w:tr>
        <w:tc>
          <w:tcPr>
            <w:tcW w:type="dxa" w:w="2268"/>
          </w:tcPr>
          <w:p>
            <w:r>
              <w:rPr>
                <w:sz w:val="20"/>
              </w:rPr>
              <w:t>academic-profile</w:t>
            </w:r>
          </w:p>
        </w:tc>
        <w:tc>
          <w:tcPr>
            <w:tcW w:type="dxa" w:w="2268"/>
          </w:tcPr>
          <w:p>
            <w:r>
              <w:rPr>
                <w:sz w:val="20"/>
              </w:rPr>
              <w:t>/functions/v1/academic-profile</w:t>
            </w:r>
          </w:p>
        </w:tc>
        <w:tc>
          <w:tcPr>
            <w:tcW w:type="dxa" w:w="1134"/>
          </w:tcPr>
          <w:p>
            <w:r>
              <w:rPr>
                <w:sz w:val="20"/>
              </w:rPr>
              <w:t>POST</w:t>
            </w:r>
          </w:p>
        </w:tc>
        <w:tc>
          <w:tcPr>
            <w:tcW w:type="dxa" w:w="1701"/>
          </w:tcPr>
          <w:p>
            <w:r>
              <w:rPr>
                <w:sz w:val="20"/>
              </w:rPr>
              <w:t>Required (Bearer token)</w:t>
            </w:r>
          </w:p>
        </w:tc>
        <w:tc>
          <w:tcPr>
            <w:tcW w:type="dxa" w:w="3969"/>
          </w:tcPr>
          <w:p>
            <w:r>
              <w:rPr>
                <w:sz w:val="20"/>
              </w:rPr>
              <w:t>Learns university programme structure: grading scale, curriculum map per level/semester. Checks catalogue first, then web-grounds with SearXNG, then AI infers.</w:t>
            </w:r>
          </w:p>
        </w:tc>
      </w:tr>
      <w:tr>
        <w:tc>
          <w:tcPr>
            <w:tcW w:type="dxa" w:w="2268"/>
          </w:tcPr>
          <w:p>
            <w:r>
              <w:rPr>
                <w:sz w:val="20"/>
              </w:rPr>
              <w:t>buddy-chat</w:t>
            </w:r>
          </w:p>
        </w:tc>
        <w:tc>
          <w:tcPr>
            <w:tcW w:type="dxa" w:w="2268"/>
          </w:tcPr>
          <w:p>
            <w:r>
              <w:rPr>
                <w:sz w:val="20"/>
              </w:rPr>
              <w:t>/functions/v1/buddy-chat</w:t>
            </w:r>
          </w:p>
        </w:tc>
        <w:tc>
          <w:tcPr>
            <w:tcW w:type="dxa" w:w="1134"/>
          </w:tcPr>
          <w:p>
            <w:r>
              <w:rPr>
                <w:sz w:val="20"/>
              </w:rPr>
              <w:t>POST</w:t>
            </w:r>
          </w:p>
        </w:tc>
        <w:tc>
          <w:tcPr>
            <w:tcW w:type="dxa" w:w="1701"/>
          </w:tcPr>
          <w:p>
            <w:r>
              <w:rPr>
                <w:sz w:val="20"/>
              </w:rPr>
              <w:t>Required (Bearer token)</w:t>
            </w:r>
          </w:p>
        </w:tc>
        <w:tc>
          <w:tcPr>
            <w:tcW w:type="dxa" w:w="3969"/>
          </w:tcPr>
          <w:p>
            <w:r>
              <w:rPr>
                <w:sz w:val="20"/>
              </w:rPr>
              <w:t>(Deactivated) AI study buddy with 3 teaching methods: Socratic, Direct, Feynman. Uses DeepSeek or OpenAI.</w:t>
            </w:r>
          </w:p>
        </w:tc>
      </w:tr>
      <w:tr>
        <w:tc>
          <w:tcPr>
            <w:tcW w:type="dxa" w:w="2268"/>
          </w:tcPr>
          <w:p>
            <w:r>
              <w:rPr>
                <w:sz w:val="20"/>
              </w:rPr>
              <w:t>delete-account</w:t>
            </w:r>
          </w:p>
        </w:tc>
        <w:tc>
          <w:tcPr>
            <w:tcW w:type="dxa" w:w="2268"/>
          </w:tcPr>
          <w:p>
            <w:r>
              <w:rPr>
                <w:sz w:val="20"/>
              </w:rPr>
              <w:t>/functions/v1/delete-account</w:t>
            </w:r>
          </w:p>
        </w:tc>
        <w:tc>
          <w:tcPr>
            <w:tcW w:type="dxa" w:w="1134"/>
          </w:tcPr>
          <w:p>
            <w:r>
              <w:rPr>
                <w:sz w:val="20"/>
              </w:rPr>
              <w:t>POST</w:t>
            </w:r>
          </w:p>
        </w:tc>
        <w:tc>
          <w:tcPr>
            <w:tcW w:type="dxa" w:w="1701"/>
          </w:tcPr>
          <w:p>
            <w:r>
              <w:rPr>
                <w:sz w:val="20"/>
              </w:rPr>
              <w:t>Required (Bearer token)</w:t>
            </w:r>
          </w:p>
        </w:tc>
        <w:tc>
          <w:tcPr>
            <w:tcW w:type="dxa" w:w="3969"/>
          </w:tcPr>
          <w:p>
            <w:r>
              <w:rPr>
                <w:sz w:val="20"/>
              </w:rPr>
              <w:t>GDPR-compliant account deletion: deletes user_data rows, profiles row, and auth user (uses service_role key for admin operations).</w:t>
            </w:r>
          </w:p>
        </w:tc>
      </w:tr>
    </w:tbl>
    <w:p/>
    <w:p>
      <w:pPr>
        <w:pStyle w:val="Heading3"/>
      </w:pPr>
      <w:r>
        <w:t>Shared Modules (_shared/)</w:t>
      </w:r>
    </w:p>
    <w:p>
      <w:pPr>
        <w:pStyle w:val="ListBullet"/>
      </w:pPr>
      <w:r>
        <w:t>cors.ts — CORS header generation with origin allowlist and deploy URL matching</w:t>
      </w:r>
    </w:p>
    <w:p>
      <w:pPr>
        <w:pStyle w:val="ListBullet"/>
      </w:pPr>
      <w:r>
        <w:t>openai.ts — AI provider abstraction: getAiConfig() resolves provider priority (DeepSeek &gt; OpenAI), callOpenAI() sends chat completion requests, AI_MODELS maps providers to model names</w:t>
      </w:r>
    </w:p>
    <w:p>
      <w:pPr>
        <w:pStyle w:val="ListBullet"/>
      </w:pPr>
      <w:r>
        <w:t>searchDomains.ts — domain configuration for SearXNG academic web searches</w:t>
      </w:r>
    </w:p>
    <w:p>
      <w:pPr>
        <w:pStyle w:val="ListBullet"/>
      </w:pPr>
      <w:r>
        <w:t>searxng.ts — SearXNG search client for grounding AI responses with verified course data</w:t>
      </w:r>
    </w:p>
    <w:p>
      <w:pPr>
        <w:pStyle w:val="ListBullet"/>
      </w:pPr>
      <w:r>
        <w:t>ugCatalogue.ts — UG-Ghana catalogue matching and profile building logic</w:t>
      </w:r>
    </w:p>
    <w:p>
      <w:pPr>
        <w:pStyle w:val="Heading3"/>
      </w:pPr>
      <w:r>
        <w:t>6.3 Cloud Sync Architecture</w:t>
      </w:r>
    </w:p>
    <w:p>
      <w:r>
        <w:rPr>
          <w:b w:val="0"/>
          <w:i w:val="0"/>
        </w:rPr>
        <w:t>Data persistence follows a local-first approach with cloud sync. The auth provider hydrates local data from cloud on sign-in (hydrateLocalFromCloud). All state mutations write to localStorage first (via saveJSON), then sync to Supabase (via persistWithCloud using upsert on the user_data table). The dataEpoch counter in AuthContext triggers context consumers to reload from localStorage when cloud data changes. This ensures offline resilience: if Supabase is unreachable, the app continues to function with locally cached data.</w:t>
      </w:r>
    </w:p>
    <w:p>
      <w:r>
        <w:br w:type="page"/>
      </w:r>
    </w:p>
    <w:p>
      <w:pPr>
        <w:pStyle w:val="Heading1"/>
      </w:pPr>
      <w:r>
        <w:t>7. Design System</w:t>
      </w:r>
    </w:p>
    <w:p>
      <w:pPr>
        <w:pStyle w:val="Heading2"/>
      </w:pPr>
      <w:r>
        <w:t>CSS Architecture</w:t>
      </w:r>
    </w:p>
    <w:p>
      <w:r>
        <w:rPr>
          <w:b w:val="0"/>
          <w:i w:val="0"/>
        </w:rPr>
        <w:t>Acad uses a CSS custom properties-based design system with three themes. All tokens are defined in :root and theme-specific selectors, making theming a matter of switching a data-theme attribute.</w:t>
      </w:r>
    </w:p>
    <w:p>
      <w:pPr>
        <w:pStyle w:val="Heading3"/>
      </w:pPr>
      <w:r>
        <w:t>Typography</w:t>
      </w:r>
    </w:p>
    <w:p>
      <w:r>
        <w:rPr>
          <w:b/>
          <w:sz w:val="24"/>
        </w:rPr>
        <w:t>Font Tokens</w:t>
      </w:r>
    </w:p>
    <w:tbl>
      <w:tblPr>
        <w:tblStyle w:val="LightGrid-Accent1"/>
        <w:tblW w:type="auto" w:w="0"/>
        <w:jc w:val="center"/>
        <w:tblLook w:firstColumn="1" w:firstRow="1" w:lastColumn="0" w:lastRow="0" w:noHBand="0" w:noVBand="1" w:val="04A0"/>
      </w:tblPr>
      <w:tblGrid>
        <w:gridCol w:w="3120"/>
        <w:gridCol w:w="3120"/>
        <w:gridCol w:w="3120"/>
      </w:tblGrid>
      <w:tr>
        <w:tc>
          <w:tcPr>
            <w:tcW w:type="dxa" w:w="1984"/>
            <w:shd w:fill="14B8A6" w:val="clear"/>
          </w:tcPr>
          <w:p>
            <w:pPr>
              <w:jc w:val="center"/>
            </w:pPr>
            <w:r>
              <w:rPr>
                <w:b/>
                <w:color w:val="FFFFFF"/>
                <w:sz w:val="20"/>
              </w:rPr>
              <w:t>Token</w:t>
            </w:r>
          </w:p>
        </w:tc>
        <w:tc>
          <w:tcPr>
            <w:tcW w:type="dxa" w:w="3118"/>
            <w:shd w:fill="14B8A6" w:val="clear"/>
          </w:tcPr>
          <w:p>
            <w:pPr>
              <w:jc w:val="center"/>
            </w:pPr>
            <w:r>
              <w:rPr>
                <w:b/>
                <w:color w:val="FFFFFF"/>
                <w:sz w:val="20"/>
              </w:rPr>
              <w:t>Font Stack</w:t>
            </w:r>
          </w:p>
        </w:tc>
        <w:tc>
          <w:tcPr>
            <w:tcW w:type="dxa" w:w="3969"/>
            <w:shd w:fill="14B8A6" w:val="clear"/>
          </w:tcPr>
          <w:p>
            <w:pPr>
              <w:jc w:val="center"/>
            </w:pPr>
            <w:r>
              <w:rPr>
                <w:b/>
                <w:color w:val="FFFFFF"/>
                <w:sz w:val="20"/>
              </w:rPr>
              <w:t>Usage</w:t>
            </w:r>
          </w:p>
        </w:tc>
      </w:tr>
      <w:tr>
        <w:tc>
          <w:tcPr>
            <w:tcW w:type="dxa" w:w="1984"/>
          </w:tcPr>
          <w:p>
            <w:r>
              <w:rPr>
                <w:sz w:val="20"/>
              </w:rPr>
              <w:t>--font-display</w:t>
            </w:r>
          </w:p>
        </w:tc>
        <w:tc>
          <w:tcPr>
            <w:tcW w:type="dxa" w:w="3118"/>
          </w:tcPr>
          <w:p>
            <w:r>
              <w:rPr>
                <w:sz w:val="20"/>
              </w:rPr>
              <w:t>Outfit, sans-serif</w:t>
            </w:r>
          </w:p>
        </w:tc>
        <w:tc>
          <w:tcPr>
            <w:tcW w:type="dxa" w:w="3969"/>
          </w:tcPr>
          <w:p>
            <w:r>
              <w:rPr>
                <w:sz w:val="20"/>
              </w:rPr>
              <w:t>Headings, hero text</w:t>
            </w:r>
          </w:p>
        </w:tc>
      </w:tr>
      <w:tr>
        <w:tc>
          <w:tcPr>
            <w:tcW w:type="dxa" w:w="1984"/>
          </w:tcPr>
          <w:p>
            <w:r>
              <w:rPr>
                <w:sz w:val="20"/>
              </w:rPr>
              <w:t>--font-ui</w:t>
            </w:r>
          </w:p>
        </w:tc>
        <w:tc>
          <w:tcPr>
            <w:tcW w:type="dxa" w:w="3118"/>
          </w:tcPr>
          <w:p>
            <w:r>
              <w:rPr>
                <w:sz w:val="20"/>
              </w:rPr>
              <w:t>Inter, -apple-system, sans-serif</w:t>
            </w:r>
          </w:p>
        </w:tc>
        <w:tc>
          <w:tcPr>
            <w:tcW w:type="dxa" w:w="3969"/>
          </w:tcPr>
          <w:p>
            <w:r>
              <w:rPr>
                <w:sz w:val="20"/>
              </w:rPr>
              <w:t>Body text, UI elements</w:t>
            </w:r>
          </w:p>
        </w:tc>
      </w:tr>
      <w:tr>
        <w:tc>
          <w:tcPr>
            <w:tcW w:type="dxa" w:w="1984"/>
          </w:tcPr>
          <w:p>
            <w:r>
              <w:rPr>
                <w:sz w:val="20"/>
              </w:rPr>
              <w:t>--font-mono</w:t>
            </w:r>
          </w:p>
        </w:tc>
        <w:tc>
          <w:tcPr>
            <w:tcW w:type="dxa" w:w="3118"/>
          </w:tcPr>
          <w:p>
            <w:r>
              <w:rPr>
                <w:sz w:val="20"/>
              </w:rPr>
              <w:t>JetBrains Mono, Fira Code, monospace</w:t>
            </w:r>
          </w:p>
        </w:tc>
        <w:tc>
          <w:tcPr>
            <w:tcW w:type="dxa" w:w="3969"/>
          </w:tcPr>
          <w:p>
            <w:r>
              <w:rPr>
                <w:sz w:val="20"/>
              </w:rPr>
              <w:t>Numbers, stats, code-like displays</w:t>
            </w:r>
          </w:p>
        </w:tc>
      </w:tr>
    </w:tbl>
    <w:p/>
    <w:p>
      <w:pPr>
        <w:pStyle w:val="Heading3"/>
      </w:pPr>
      <w:r>
        <w:t>Color System</w:t>
      </w:r>
    </w:p>
    <w:p>
      <w:r>
        <w:rPr>
          <w:b/>
          <w:sz w:val="24"/>
        </w:rPr>
        <w:t>Accent Palette (Theme-Independent)</w:t>
      </w:r>
    </w:p>
    <w:tbl>
      <w:tblPr>
        <w:tblStyle w:val="LightGrid-Accent1"/>
        <w:tblW w:type="auto" w:w="0"/>
        <w:jc w:val="center"/>
        <w:tblLook w:firstColumn="1" w:firstRow="1" w:lastColumn="0" w:lastRow="0" w:noHBand="0" w:noVBand="1" w:val="04A0"/>
      </w:tblPr>
      <w:tblGrid>
        <w:gridCol w:w="3120"/>
        <w:gridCol w:w="3120"/>
        <w:gridCol w:w="3120"/>
      </w:tblGrid>
      <w:tr>
        <w:tc>
          <w:tcPr>
            <w:tcW w:type="dxa" w:w="2268"/>
            <w:shd w:fill="14B8A6" w:val="clear"/>
          </w:tcPr>
          <w:p>
            <w:pPr>
              <w:jc w:val="center"/>
            </w:pPr>
            <w:r>
              <w:rPr>
                <w:b/>
                <w:color w:val="FFFFFF"/>
                <w:sz w:val="20"/>
              </w:rPr>
              <w:t>Token</w:t>
            </w:r>
          </w:p>
        </w:tc>
        <w:tc>
          <w:tcPr>
            <w:tcW w:type="dxa" w:w="2551"/>
            <w:shd w:fill="14B8A6" w:val="clear"/>
          </w:tcPr>
          <w:p>
            <w:pPr>
              <w:jc w:val="center"/>
            </w:pPr>
            <w:r>
              <w:rPr>
                <w:b/>
                <w:color w:val="FFFFFF"/>
                <w:sz w:val="20"/>
              </w:rPr>
              <w:t>Hex Value</w:t>
            </w:r>
          </w:p>
        </w:tc>
        <w:tc>
          <w:tcPr>
            <w:tcW w:type="dxa" w:w="4252"/>
            <w:shd w:fill="14B8A6" w:val="clear"/>
          </w:tcPr>
          <w:p>
            <w:pPr>
              <w:jc w:val="center"/>
            </w:pPr>
            <w:r>
              <w:rPr>
                <w:b/>
                <w:color w:val="FFFFFF"/>
                <w:sz w:val="20"/>
              </w:rPr>
              <w:t>Purpose</w:t>
            </w:r>
          </w:p>
        </w:tc>
      </w:tr>
      <w:tr>
        <w:tc>
          <w:tcPr>
            <w:tcW w:type="dxa" w:w="2268"/>
          </w:tcPr>
          <w:p>
            <w:r>
              <w:rPr>
                <w:sz w:val="20"/>
              </w:rPr>
              <w:t>--gold</w:t>
            </w:r>
          </w:p>
        </w:tc>
        <w:tc>
          <w:tcPr>
            <w:tcW w:type="dxa" w:w="2551"/>
          </w:tcPr>
          <w:p>
            <w:r>
              <w:rPr>
                <w:sz w:val="20"/>
              </w:rPr>
              <w:t>#14b8a6 (teal)</w:t>
            </w:r>
          </w:p>
        </w:tc>
        <w:tc>
          <w:tcPr>
            <w:tcW w:type="dxa" w:w="4252"/>
          </w:tcPr>
          <w:p>
            <w:r>
              <w:rPr>
                <w:sz w:val="20"/>
              </w:rPr>
              <w:t>Primary accent, call-to-actions, highlights</w:t>
            </w:r>
          </w:p>
        </w:tc>
      </w:tr>
      <w:tr>
        <w:tc>
          <w:tcPr>
            <w:tcW w:type="dxa" w:w="2268"/>
          </w:tcPr>
          <w:p>
            <w:r>
              <w:rPr>
                <w:sz w:val="20"/>
              </w:rPr>
              <w:t>--gold-light</w:t>
            </w:r>
          </w:p>
        </w:tc>
        <w:tc>
          <w:tcPr>
            <w:tcW w:type="dxa" w:w="2551"/>
          </w:tcPr>
          <w:p>
            <w:r>
              <w:rPr>
                <w:sz w:val="20"/>
              </w:rPr>
              <w:t>#2dd4bf</w:t>
            </w:r>
          </w:p>
        </w:tc>
        <w:tc>
          <w:tcPr>
            <w:tcW w:type="dxa" w:w="4252"/>
          </w:tcPr>
          <w:p>
            <w:r>
              <w:rPr>
                <w:sz w:val="20"/>
              </w:rPr>
              <w:t>Hover states, glowing elements</w:t>
            </w:r>
          </w:p>
        </w:tc>
      </w:tr>
      <w:tr>
        <w:tc>
          <w:tcPr>
            <w:tcW w:type="dxa" w:w="2268"/>
          </w:tcPr>
          <w:p>
            <w:r>
              <w:rPr>
                <w:sz w:val="20"/>
              </w:rPr>
              <w:t>--gold-dim</w:t>
            </w:r>
          </w:p>
        </w:tc>
        <w:tc>
          <w:tcPr>
            <w:tcW w:type="dxa" w:w="2551"/>
          </w:tcPr>
          <w:p>
            <w:r>
              <w:rPr>
                <w:sz w:val="20"/>
              </w:rPr>
              <w:t>#0f766e</w:t>
            </w:r>
          </w:p>
        </w:tc>
        <w:tc>
          <w:tcPr>
            <w:tcW w:type="dxa" w:w="4252"/>
          </w:tcPr>
          <w:p>
            <w:r>
              <w:rPr>
                <w:sz w:val="20"/>
              </w:rPr>
              <w:t>Muted accent, borders</w:t>
            </w:r>
          </w:p>
        </w:tc>
      </w:tr>
      <w:tr>
        <w:tc>
          <w:tcPr>
            <w:tcW w:type="dxa" w:w="2268"/>
          </w:tcPr>
          <w:p>
            <w:r>
              <w:rPr>
                <w:sz w:val="20"/>
              </w:rPr>
              <w:t>--verdigris</w:t>
            </w:r>
          </w:p>
        </w:tc>
        <w:tc>
          <w:tcPr>
            <w:tcW w:type="dxa" w:w="2551"/>
          </w:tcPr>
          <w:p>
            <w:r>
              <w:rPr>
                <w:sz w:val="20"/>
              </w:rPr>
              <w:t>#3b82f6 (blue)</w:t>
            </w:r>
          </w:p>
        </w:tc>
        <w:tc>
          <w:tcPr>
            <w:tcW w:type="dxa" w:w="4252"/>
          </w:tcPr>
          <w:p>
            <w:r>
              <w:rPr>
                <w:sz w:val="20"/>
              </w:rPr>
              <w:t>Secondary accent, mastery indicators</w:t>
            </w:r>
          </w:p>
        </w:tc>
      </w:tr>
      <w:tr>
        <w:tc>
          <w:tcPr>
            <w:tcW w:type="dxa" w:w="2268"/>
          </w:tcPr>
          <w:p>
            <w:r>
              <w:rPr>
                <w:sz w:val="20"/>
              </w:rPr>
              <w:t>--crimson</w:t>
            </w:r>
          </w:p>
        </w:tc>
        <w:tc>
          <w:tcPr>
            <w:tcW w:type="dxa" w:w="2551"/>
          </w:tcPr>
          <w:p>
            <w:r>
              <w:rPr>
                <w:sz w:val="20"/>
              </w:rPr>
              <w:t>#f43f5e</w:t>
            </w:r>
          </w:p>
        </w:tc>
        <w:tc>
          <w:tcPr>
            <w:tcW w:type="dxa" w:w="4252"/>
          </w:tcPr>
          <w:p>
            <w:r>
              <w:rPr>
                <w:sz w:val="20"/>
              </w:rPr>
              <w:t>Danger states, low mastery, delete buttons</w:t>
            </w:r>
          </w:p>
        </w:tc>
      </w:tr>
      <w:tr>
        <w:tc>
          <w:tcPr>
            <w:tcW w:type="dxa" w:w="2268"/>
          </w:tcPr>
          <w:p>
            <w:r>
              <w:rPr>
                <w:sz w:val="20"/>
              </w:rPr>
              <w:t>--mastery-high</w:t>
            </w:r>
          </w:p>
        </w:tc>
        <w:tc>
          <w:tcPr>
            <w:tcW w:type="dxa" w:w="2551"/>
          </w:tcPr>
          <w:p>
            <w:r>
              <w:rPr>
                <w:sz w:val="20"/>
              </w:rPr>
              <w:t>#10b981 (green)</w:t>
            </w:r>
          </w:p>
        </w:tc>
        <w:tc>
          <w:tcPr>
            <w:tcW w:type="dxa" w:w="4252"/>
          </w:tcPr>
          <w:p>
            <w:r>
              <w:rPr>
                <w:sz w:val="20"/>
              </w:rPr>
              <w:t>Mastery &gt;= 70%</w:t>
            </w:r>
          </w:p>
        </w:tc>
      </w:tr>
      <w:tr>
        <w:tc>
          <w:tcPr>
            <w:tcW w:type="dxa" w:w="2268"/>
          </w:tcPr>
          <w:p>
            <w:r>
              <w:rPr>
                <w:sz w:val="20"/>
              </w:rPr>
              <w:t>--mastery-mid</w:t>
            </w:r>
          </w:p>
        </w:tc>
        <w:tc>
          <w:tcPr>
            <w:tcW w:type="dxa" w:w="2551"/>
          </w:tcPr>
          <w:p>
            <w:r>
              <w:rPr>
                <w:sz w:val="20"/>
              </w:rPr>
              <w:t>#f59e0b (amber)</w:t>
            </w:r>
          </w:p>
        </w:tc>
        <w:tc>
          <w:tcPr>
            <w:tcW w:type="dxa" w:w="4252"/>
          </w:tcPr>
          <w:p>
            <w:r>
              <w:rPr>
                <w:sz w:val="20"/>
              </w:rPr>
              <w:t>Mastery 50-69%</w:t>
            </w:r>
          </w:p>
        </w:tc>
      </w:tr>
      <w:tr>
        <w:tc>
          <w:tcPr>
            <w:tcW w:type="dxa" w:w="2268"/>
          </w:tcPr>
          <w:p>
            <w:r>
              <w:rPr>
                <w:sz w:val="20"/>
              </w:rPr>
              <w:t>--mastery-low</w:t>
            </w:r>
          </w:p>
        </w:tc>
        <w:tc>
          <w:tcPr>
            <w:tcW w:type="dxa" w:w="2551"/>
          </w:tcPr>
          <w:p>
            <w:r>
              <w:rPr>
                <w:sz w:val="20"/>
              </w:rPr>
              <w:t>#ef4444 (red)</w:t>
            </w:r>
          </w:p>
        </w:tc>
        <w:tc>
          <w:tcPr>
            <w:tcW w:type="dxa" w:w="4252"/>
          </w:tcPr>
          <w:p>
            <w:r>
              <w:rPr>
                <w:sz w:val="20"/>
              </w:rPr>
              <w:t>Mastery &lt; 50%</w:t>
            </w:r>
          </w:p>
        </w:tc>
      </w:tr>
    </w:tbl>
    <w:p/>
    <w:p>
      <w:pPr>
        <w:pStyle w:val="Heading3"/>
      </w:pPr>
      <w:r>
        <w:t>Themes</w:t>
      </w:r>
    </w:p>
    <w:p>
      <w:pPr>
        <w:pStyle w:val="ListBullet"/>
      </w:pPr>
      <w:r>
        <w:t>Twilight (default) — dark theme with deep void (#0b1118) background, parchment (#f8fafc) text, teal-gold accents</w:t>
      </w:r>
    </w:p>
    <w:p>
      <w:pPr>
        <w:pStyle w:val="ListBullet"/>
      </w:pPr>
      <w:r>
        <w:t>Dawn — light theme variant</w:t>
      </w:r>
    </w:p>
    <w:p>
      <w:pPr>
        <w:pStyle w:val="ListBullet"/>
      </w:pPr>
      <w:r>
        <w:t>Dusk — medium-dark theme variant</w:t>
      </w:r>
    </w:p>
    <w:p>
      <w:pPr>
        <w:pStyle w:val="ListBullet"/>
      </w:pPr>
      <w:r>
        <w:t>Theme persistence: stored in localStorage (acad-theme), applied via data-theme attribute on &lt;html&gt;</w:t>
      </w:r>
    </w:p>
    <w:p>
      <w:pPr>
        <w:pStyle w:val="ListBullet"/>
      </w:pPr>
      <w:r>
        <w:t>ThemeContext handles initialization, toggling, and system preference detection</w:t>
      </w:r>
    </w:p>
    <w:p>
      <w:pPr>
        <w:pStyle w:val="Heading3"/>
      </w:pPr>
      <w:r>
        <w:t>Layout Tokens</w:t>
      </w:r>
    </w:p>
    <w:p>
      <w:r>
        <w:rPr>
          <w:b/>
          <w:sz w:val="24"/>
        </w:rPr>
        <w:t>Layout Variables</w:t>
      </w:r>
    </w:p>
    <w:tbl>
      <w:tblPr>
        <w:tblStyle w:val="LightGrid-Accent1"/>
        <w:tblW w:type="auto" w:w="0"/>
        <w:jc w:val="center"/>
        <w:tblLook w:firstColumn="1" w:firstRow="1" w:lastColumn="0" w:lastRow="0" w:noHBand="0" w:noVBand="1" w:val="04A0"/>
      </w:tblPr>
      <w:tblGrid>
        <w:gridCol w:w="3120"/>
        <w:gridCol w:w="3120"/>
        <w:gridCol w:w="3120"/>
      </w:tblGrid>
      <w:tr>
        <w:tc>
          <w:tcPr>
            <w:tcW w:type="dxa" w:w="2268"/>
            <w:shd w:fill="14B8A6" w:val="clear"/>
          </w:tcPr>
          <w:p>
            <w:pPr>
              <w:jc w:val="center"/>
            </w:pPr>
            <w:r>
              <w:rPr>
                <w:b/>
                <w:color w:val="FFFFFF"/>
                <w:sz w:val="20"/>
              </w:rPr>
              <w:t>Token</w:t>
            </w:r>
          </w:p>
        </w:tc>
        <w:tc>
          <w:tcPr>
            <w:tcW w:type="dxa" w:w="2268"/>
            <w:shd w:fill="14B8A6" w:val="clear"/>
          </w:tcPr>
          <w:p>
            <w:pPr>
              <w:jc w:val="center"/>
            </w:pPr>
            <w:r>
              <w:rPr>
                <w:b/>
                <w:color w:val="FFFFFF"/>
                <w:sz w:val="20"/>
              </w:rPr>
              <w:t>Value</w:t>
            </w:r>
          </w:p>
        </w:tc>
        <w:tc>
          <w:tcPr>
            <w:tcW w:type="dxa" w:w="4535"/>
            <w:shd w:fill="14B8A6" w:val="clear"/>
          </w:tcPr>
          <w:p>
            <w:pPr>
              <w:jc w:val="center"/>
            </w:pPr>
            <w:r>
              <w:rPr>
                <w:b/>
                <w:color w:val="FFFFFF"/>
                <w:sz w:val="20"/>
              </w:rPr>
              <w:t>Purpose</w:t>
            </w:r>
          </w:p>
        </w:tc>
      </w:tr>
      <w:tr>
        <w:tc>
          <w:tcPr>
            <w:tcW w:type="dxa" w:w="2268"/>
          </w:tcPr>
          <w:p>
            <w:r>
              <w:rPr>
                <w:sz w:val="20"/>
              </w:rPr>
              <w:t>--nav-w</w:t>
            </w:r>
          </w:p>
        </w:tc>
        <w:tc>
          <w:tcPr>
            <w:tcW w:type="dxa" w:w="2268"/>
          </w:tcPr>
          <w:p>
            <w:r>
              <w:rPr>
                <w:sz w:val="20"/>
              </w:rPr>
              <w:t>60px</w:t>
            </w:r>
          </w:p>
        </w:tc>
        <w:tc>
          <w:tcPr>
            <w:tcW w:type="dxa" w:w="4535"/>
          </w:tcPr>
          <w:p>
            <w:r>
              <w:rPr>
                <w:sz w:val="20"/>
              </w:rPr>
              <w:t>Collapsed sidebar width</w:t>
            </w:r>
          </w:p>
        </w:tc>
      </w:tr>
      <w:tr>
        <w:tc>
          <w:tcPr>
            <w:tcW w:type="dxa" w:w="2268"/>
          </w:tcPr>
          <w:p>
            <w:r>
              <w:rPr>
                <w:sz w:val="20"/>
              </w:rPr>
              <w:t>--nav-w-expanded</w:t>
            </w:r>
          </w:p>
        </w:tc>
        <w:tc>
          <w:tcPr>
            <w:tcW w:type="dxa" w:w="2268"/>
          </w:tcPr>
          <w:p>
            <w:r>
              <w:rPr>
                <w:sz w:val="20"/>
              </w:rPr>
              <w:t>192px</w:t>
            </w:r>
          </w:p>
        </w:tc>
        <w:tc>
          <w:tcPr>
            <w:tcW w:type="dxa" w:w="4535"/>
          </w:tcPr>
          <w:p>
            <w:r>
              <w:rPr>
                <w:sz w:val="20"/>
              </w:rPr>
              <w:t>Expanded sidebar width</w:t>
            </w:r>
          </w:p>
        </w:tc>
      </w:tr>
      <w:tr>
        <w:tc>
          <w:tcPr>
            <w:tcW w:type="dxa" w:w="2268"/>
          </w:tcPr>
          <w:p>
            <w:r>
              <w:rPr>
                <w:sz w:val="20"/>
              </w:rPr>
              <w:t>--nav-mobile-h</w:t>
            </w:r>
          </w:p>
        </w:tc>
        <w:tc>
          <w:tcPr>
            <w:tcW w:type="dxa" w:w="2268"/>
          </w:tcPr>
          <w:p>
            <w:r>
              <w:rPr>
                <w:sz w:val="20"/>
              </w:rPr>
              <w:t>58px</w:t>
            </w:r>
          </w:p>
        </w:tc>
        <w:tc>
          <w:tcPr>
            <w:tcW w:type="dxa" w:w="4535"/>
          </w:tcPr>
          <w:p>
            <w:r>
              <w:rPr>
                <w:sz w:val="20"/>
              </w:rPr>
              <w:t>Mobile bottom nav height</w:t>
            </w:r>
          </w:p>
        </w:tc>
      </w:tr>
      <w:tr>
        <w:tc>
          <w:tcPr>
            <w:tcW w:type="dxa" w:w="2268"/>
          </w:tcPr>
          <w:p>
            <w:r>
              <w:rPr>
                <w:sz w:val="20"/>
              </w:rPr>
              <w:t>--max-w</w:t>
            </w:r>
          </w:p>
        </w:tc>
        <w:tc>
          <w:tcPr>
            <w:tcW w:type="dxa" w:w="2268"/>
          </w:tcPr>
          <w:p>
            <w:r>
              <w:rPr>
                <w:sz w:val="20"/>
              </w:rPr>
              <w:t>1040px</w:t>
            </w:r>
          </w:p>
        </w:tc>
        <w:tc>
          <w:tcPr>
            <w:tcW w:type="dxa" w:w="4535"/>
          </w:tcPr>
          <w:p>
            <w:r>
              <w:rPr>
                <w:sz w:val="20"/>
              </w:rPr>
              <w:t>Maximum content width</w:t>
            </w:r>
          </w:p>
        </w:tc>
      </w:tr>
      <w:tr>
        <w:tc>
          <w:tcPr>
            <w:tcW w:type="dxa" w:w="2268"/>
          </w:tcPr>
          <w:p>
            <w:r>
              <w:rPr>
                <w:sz w:val="20"/>
              </w:rPr>
              <w:t>--pad-x</w:t>
            </w:r>
          </w:p>
        </w:tc>
        <w:tc>
          <w:tcPr>
            <w:tcW w:type="dxa" w:w="2268"/>
          </w:tcPr>
          <w:p>
            <w:r>
              <w:rPr>
                <w:sz w:val="20"/>
              </w:rPr>
              <w:t>52px</w:t>
            </w:r>
          </w:p>
        </w:tc>
        <w:tc>
          <w:tcPr>
            <w:tcW w:type="dxa" w:w="4535"/>
          </w:tcPr>
          <w:p>
            <w:r>
              <w:rPr>
                <w:sz w:val="20"/>
              </w:rPr>
              <w:t>Horizontal page padding</w:t>
            </w:r>
          </w:p>
        </w:tc>
      </w:tr>
      <w:tr>
        <w:tc>
          <w:tcPr>
            <w:tcW w:type="dxa" w:w="2268"/>
          </w:tcPr>
          <w:p>
            <w:r>
              <w:rPr>
                <w:sz w:val="20"/>
              </w:rPr>
              <w:t>--ease</w:t>
            </w:r>
          </w:p>
        </w:tc>
        <w:tc>
          <w:tcPr>
            <w:tcW w:type="dxa" w:w="2268"/>
          </w:tcPr>
          <w:p>
            <w:r>
              <w:rPr>
                <w:sz w:val="20"/>
              </w:rPr>
              <w:t>cubic-bezier(0.4, 0, 0.2, 1)</w:t>
            </w:r>
          </w:p>
        </w:tc>
        <w:tc>
          <w:tcPr>
            <w:tcW w:type="dxa" w:w="4535"/>
          </w:tcPr>
          <w:p>
            <w:r>
              <w:rPr>
                <w:sz w:val="20"/>
              </w:rPr>
              <w:t>Standard animation easing</w:t>
            </w:r>
          </w:p>
        </w:tc>
      </w:tr>
      <w:tr>
        <w:tc>
          <w:tcPr>
            <w:tcW w:type="dxa" w:w="2268"/>
          </w:tcPr>
          <w:p>
            <w:r>
              <w:rPr>
                <w:sz w:val="20"/>
              </w:rPr>
              <w:t>--tr</w:t>
            </w:r>
          </w:p>
        </w:tc>
        <w:tc>
          <w:tcPr>
            <w:tcW w:type="dxa" w:w="2268"/>
          </w:tcPr>
          <w:p>
            <w:r>
              <w:rPr>
                <w:sz w:val="20"/>
              </w:rPr>
              <w:t>0.25s</w:t>
            </w:r>
          </w:p>
        </w:tc>
        <w:tc>
          <w:tcPr>
            <w:tcW w:type="dxa" w:w="4535"/>
          </w:tcPr>
          <w:p>
            <w:r>
              <w:rPr>
                <w:sz w:val="20"/>
              </w:rPr>
              <w:t>Standard transition duration</w:t>
            </w:r>
          </w:p>
        </w:tc>
      </w:tr>
    </w:tbl>
    <w:p/>
    <w:p>
      <w:pPr>
        <w:pStyle w:val="Heading3"/>
      </w:pPr>
      <w:r>
        <w:t>Component Styling Patterns</w:t>
      </w:r>
    </w:p>
    <w:p>
      <w:pPr>
        <w:pStyle w:val="ListBullet"/>
      </w:pPr>
      <w:r>
        <w:t>Card pattern: .card class with var(--void-card) background, var(--border) border, rounded corners</w:t>
      </w:r>
    </w:p>
    <w:p>
      <w:pPr>
        <w:pStyle w:val="ListBullet"/>
      </w:pPr>
      <w:r>
        <w:t>Button variants: .btn-primary (teal), .btn-outline, .btn-ghost, .btn-danger (crimson), .btn-sm</w:t>
      </w:r>
    </w:p>
    <w:p>
      <w:pPr>
        <w:pStyle w:val="ListBullet"/>
      </w:pPr>
      <w:r>
        <w:t>Progress bars: .prog-bar &gt; .prog-fill pattern with percentage width and color transitions</w:t>
      </w:r>
    </w:p>
    <w:p>
      <w:pPr>
        <w:pStyle w:val="ListBullet"/>
      </w:pPr>
      <w:r>
        <w:t>Animation: .anim-fade-in for page transitions, .anim-fade-up for step transitions</w:t>
      </w:r>
    </w:p>
    <w:p>
      <w:pPr>
        <w:pStyle w:val="ListBullet"/>
      </w:pPr>
      <w:r>
        <w:t>Form elements: .form-label, .form-input, .form-group, .form-error patterns</w:t>
      </w:r>
    </w:p>
    <w:p>
      <w:pPr>
        <w:pStyle w:val="ListBullet"/>
      </w:pPr>
      <w:r>
        <w:t>Loading: Loader component with compound rotation animation and label overlay</w:t>
      </w:r>
    </w:p>
    <w:p>
      <w:r>
        <w:br w:type="page"/>
      </w:r>
    </w:p>
    <w:p>
      <w:pPr>
        <w:pStyle w:val="Heading1"/>
      </w:pPr>
      <w:r>
        <w:t>8. Future Roadmap</w:t>
      </w:r>
    </w:p>
    <w:p>
      <w:r>
        <w:rPr>
          <w:b w:val="0"/>
          <w:i w:val="0"/>
        </w:rPr>
        <w:t>Based on the existing codebase structure and commented-out features, several enhancements are natural next steps for the Acad platform:</w:t>
      </w:r>
    </w:p>
    <w:p>
      <w:pPr>
        <w:pStyle w:val="ListNumber"/>
      </w:pPr>
      <w:r>
        <w:t>AI Study Buddy Reactivation — The buddy-chat edge function and AIBuddy.jsx frontend page are fully built and tested. Reactivating requires uncommenting the Nav entry, route, and plan capacity tool registration. Potential enhancement: add subject-aware context from the academic profile curriculum map.</w:t>
      </w:r>
    </w:p>
    <w:p>
      <w:pPr>
        <w:pStyle w:val="ListNumber"/>
      </w:pPr>
      <w:r>
        <w:t>Additional University Catalogues — The catalogue system is designed for extensibility. Adding JSON catalogues for Nigerian, UK, and US universities (following the same schema as ug-ghana.json) would expand the zero-AI-cost onboarding to more students.</w:t>
      </w:r>
    </w:p>
    <w:p>
      <w:pPr>
        <w:pStyle w:val="ListNumber"/>
      </w:pPr>
      <w:r>
        <w:t>Email Notifications — The settings page already has an "Email notifications" row marked "Coming soon." Implementation would leverage Supabase Edge Functions triggered by database events (streak milestones, plan countdown expiry, daily reminders).</w:t>
      </w:r>
    </w:p>
    <w:p>
      <w:pPr>
        <w:pStyle w:val="ListNumber"/>
      </w:pPr>
      <w:r>
        <w:t>Advanced Analytics Dashboard — The Reports page has a dedicated component but could be expanded with semester-over-semester GPA trend charts, study-hour vs. mastery correlation analysis, and predictive grade projections based on current mastery trajectories.</w:t>
      </w:r>
    </w:p>
    <w:p>
      <w:pPr>
        <w:pStyle w:val="ListNumber"/>
      </w:pPr>
      <w:r>
        <w:t>Collaborative Study Rooms — The StudyRoom and StudyGroups components exist with real-time capabilities. Enhancing with shared flashcards, group challenges, and peer accountability features would deepen the collaborative layer.</w:t>
      </w:r>
    </w:p>
    <w:p>
      <w:pPr>
        <w:pStyle w:val="ListNumber"/>
      </w:pPr>
      <w:r>
        <w:t>Mobile App — The responsive design (mobile bottom nav, dock sidebar) already supports mobile browsers. A React Native or PWA wrapper would provide native notifications and offline-first experience.</w:t>
      </w:r>
    </w:p>
    <w:p>
      <w:pPr>
        <w:pStyle w:val="ListNumber"/>
      </w:pPr>
      <w:r>
        <w:t>Learning Resource Integration — The learningResources.js utility exists as a stub. Integrating with open educational resources (MIT OCW, Khan Academy, Coursera) mapped to course topics would provide targeted study materials.</w:t>
      </w:r>
    </w:p>
    <w:p>
      <w:pPr>
        <w:pStyle w:val="ListNumber"/>
      </w:pPr>
      <w:r>
        <w:t>Export to PDF — Export utilities for reports (exportReportPdf.js) and projects (exportProjectsPdf.js) exist. Enhancing these with branded templates and shareable formats would support academic portfolio building.</w:t>
      </w:r>
    </w:p>
    <w:p>
      <w:pPr>
        <w:pStyle w:val="ListNumber"/>
      </w:pPr>
      <w:r>
        <w:t>Multi-Language Grading Scales — The fallback profile builder currently supports Ghana and US grading. Adding UK (First/2:1/2:2/Third), Nigerian (5-point), and European (ECTS) scales would improve international student onboarding.</w:t>
      </w:r>
    </w:p>
    <w:p>
      <w:pPr>
        <w:pStyle w:val="ListNumber"/>
      </w:pPr>
      <w:r>
        <w:t>Gamification Depth — The GameContext already tracks XP, achievements, and challenges. Adding leaderboards, streak milestones with rewards, and semester-completion badges would deepen engagement.</w:t>
      </w:r>
    </w:p>
    <w:p/>
    <w:p>
      <w:pPr>
        <w:spacing w:before="80" w:after="80"/>
        <w:pBdr>
          <w:bottom w:val="single" w:sz="6" w:space="1" w:color="14B8A6"/>
        </w:pBdr>
      </w:pPr>
    </w:p>
    <w:p>
      <w:pPr>
        <w:jc w:val="center"/>
      </w:pPr>
      <w:r>
        <w:rPr>
          <w:i/>
          <w:color w:val="94A3B8"/>
          <w:sz w:val="18"/>
        </w:rPr>
        <w:t>Acad Product Presentation — Generated July 21,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4B8A6"/>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4B8A6"/>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4B8A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