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rPr>
          <w:cantSplit/>
        </w:trPr>
        <w:tc>
          <w:tcPr>
            <w:tcW w:type="dxa" w:w="10224"/>
            <w:shd w:fill="17365D"/>
            <w:tcMar>
              <w:top w:w="130" w:type="dxa"/>
              <w:start w:w="160" w:type="dxa"/>
              <w:bottom w:w="120" w:type="dxa"/>
              <w:end w:w="160" w:type="dxa"/>
            </w:tcMar>
            <w:vAlign w:val="center"/>
          </w:tcPr>
          <w:p>
            <w:pPr>
              <w:jc w:val="left"/>
            </w:pPr>
            <w:r>
              <w:rPr>
                <w:rFonts w:ascii="Arial" w:hAnsi="Arial"/>
                <w:b/>
                <w:color w:val="D8E4F0"/>
                <w:sz w:val="18"/>
              </w:rPr>
              <w:t>TOPIC 1</w:t>
            </w:r>
          </w:p>
          <w:p>
            <w:r>
              <w:rPr>
                <w:rFonts w:ascii="Arial" w:hAnsi="Arial"/>
                <w:b/>
                <w:color w:val="FFFFFF"/>
                <w:sz w:val="42"/>
              </w:rPr>
              <w:t>My Mom’s Journey and What It Taught Me</w:t>
            </w:r>
          </w:p>
          <w:p>
            <w:r>
              <w:rPr>
                <w:rFonts w:ascii="Arial" w:hAnsi="Arial"/>
                <w:color w:val="E8EEF5"/>
                <w:sz w:val="21"/>
              </w:rPr>
              <w:t>Veteran influence, citizenship, service, and character</w:t>
            </w:r>
          </w:p>
        </w:tc>
      </w:tr>
    </w:tbl>
    <w:p/>
    <w:p>
      <w:r>
        <w:rPr>
          <w:rFonts w:ascii="Arial" w:hAnsi="Arial"/>
          <w:b/>
          <w:color w:val="B88A2D"/>
          <w:sz w:val="19"/>
        </w:rPr>
        <w:t xml:space="preserve">Best for: </w:t>
      </w:r>
      <w:r>
        <w:rPr>
          <w:rFonts w:ascii="Arial" w:hAnsi="Arial"/>
          <w:color w:val="1F2937"/>
          <w:sz w:val="19"/>
        </w:rPr>
        <w:t>VFW and veteran-family scholarships; inspiration, patriotism, service, and character prompts</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Core angle</w:t>
            </w:r>
          </w:p>
          <w:p>
            <w:r>
              <w:rPr>
                <w:rFonts w:ascii="Arial" w:hAnsi="Arial"/>
                <w:color w:val="1F2937"/>
                <w:sz w:val="20"/>
              </w:rPr>
              <w:t>Your mother’s story is unusual: she immigrated legally from Guyana, served in the U.S. military, deployed to Iraq, and became a U.S. citizen in Baghdad in 2005. She was also born on July 4, 1983. The essay should not simply celebrate those facts. It should explain what growing up with that example taught you.</w:t>
            </w:r>
          </w:p>
        </w:tc>
      </w:tr>
    </w:tbl>
    <w:p>
      <w:pPr>
        <w:pStyle w:val="Heading1"/>
      </w:pPr>
      <w:r>
        <w:t>Facts already filled in</w:t>
      </w:r>
    </w:p>
    <w:p>
      <w:pPr>
        <w:pStyle w:val="ListBullet"/>
        <w:ind w:left="317" w:hanging="230"/>
      </w:pPr>
      <w:r>
        <w:rPr>
          <w:rFonts w:ascii="Arial" w:hAnsi="Arial"/>
          <w:color w:val="1F2937"/>
          <w:sz w:val="20"/>
        </w:rPr>
        <w:t>Jasmine is the daughter of two U.S. military combat veterans.</w:t>
      </w:r>
    </w:p>
    <w:p>
      <w:pPr>
        <w:pStyle w:val="ListBullet"/>
        <w:ind w:left="317" w:hanging="230"/>
      </w:pPr>
      <w:r>
        <w:rPr>
          <w:rFonts w:ascii="Arial" w:hAnsi="Arial"/>
          <w:color w:val="1F2937"/>
          <w:sz w:val="20"/>
        </w:rPr>
        <w:t>Mom legally immigrated from Guyana, South America, before becoming a U.S. citizen.</w:t>
      </w:r>
    </w:p>
    <w:p>
      <w:pPr>
        <w:pStyle w:val="ListBullet"/>
        <w:ind w:left="317" w:hanging="230"/>
      </w:pPr>
      <w:r>
        <w:rPr>
          <w:rFonts w:ascii="Arial" w:hAnsi="Arial"/>
          <w:color w:val="1F2937"/>
          <w:sz w:val="20"/>
        </w:rPr>
        <w:t>Mom served in the U.S. military and deployed to Iraq.</w:t>
      </w:r>
    </w:p>
    <w:p>
      <w:pPr>
        <w:pStyle w:val="ListBullet"/>
        <w:ind w:left="317" w:hanging="230"/>
      </w:pPr>
      <w:r>
        <w:rPr>
          <w:rFonts w:ascii="Arial" w:hAnsi="Arial"/>
          <w:color w:val="1F2937"/>
          <w:sz w:val="20"/>
        </w:rPr>
        <w:t>Mom became a U.S. citizen in Baghdad in 2005 while deployed.</w:t>
      </w:r>
    </w:p>
    <w:p>
      <w:pPr>
        <w:pStyle w:val="ListBullet"/>
        <w:ind w:left="317" w:hanging="230"/>
      </w:pPr>
      <w:r>
        <w:rPr>
          <w:rFonts w:ascii="Arial" w:hAnsi="Arial"/>
          <w:color w:val="1F2937"/>
          <w:sz w:val="20"/>
        </w:rPr>
        <w:t>Mom was born July 4, 1983.</w:t>
      </w:r>
    </w:p>
    <w:p>
      <w:pPr>
        <w:pStyle w:val="ListBullet"/>
        <w:ind w:left="317" w:hanging="230"/>
      </w:pPr>
      <w:r>
        <w:rPr>
          <w:rFonts w:ascii="Arial" w:hAnsi="Arial"/>
          <w:color w:val="1F2937"/>
          <w:sz w:val="20"/>
        </w:rPr>
        <w:t>Jasmine also participated in AFJROTC for one year and completed school/community service activities.</w:t>
      </w:r>
    </w:p>
    <w:p>
      <w:pPr>
        <w:pStyle w:val="ListBullet"/>
        <w:ind w:left="317" w:hanging="230"/>
      </w:pPr>
      <w:r>
        <w:rPr>
          <w:rFonts w:ascii="Arial" w:hAnsi="Arial"/>
          <w:color w:val="1F2937"/>
          <w:sz w:val="20"/>
        </w:rPr>
        <w:t>Jasmine has built her own record of responsibility through school, paid work, entrepreneurship, photography, church service, and community service.</w:t>
      </w:r>
    </w:p>
    <w:tbl>
      <w:tblPr>
        <w:tblW w:type="auto" w:w="0"/>
        <w:tblLayout w:type="fixed"/>
        <w:tblLook w:firstColumn="1" w:firstRow="1" w:lastColumn="0" w:lastRow="0" w:noHBand="0" w:noVBand="1" w:val="04A0"/>
      </w:tblPr>
      <w:tblGrid>
        <w:gridCol w:w="10080"/>
      </w:tblGrid>
      <w:tr>
        <w:trPr>
          <w:cantSplit/>
        </w:trPr>
        <w:tc>
          <w:tcPr>
            <w:tcW w:type="dxa" w:w="10224"/>
            <w:shd w:fill="F7F1E3"/>
            <w:tcMar>
              <w:top w:w="100" w:type="dxa"/>
              <w:start w:w="140" w:type="dxa"/>
              <w:bottom w:w="100" w:type="dxa"/>
              <w:end w:w="140" w:type="dxa"/>
            </w:tcMar>
          </w:tcPr>
          <w:p>
            <w:r>
              <w:rPr>
                <w:rFonts w:ascii="Arial" w:hAnsi="Arial"/>
                <w:b/>
                <w:color w:val="B88A2D"/>
                <w:sz w:val="21"/>
              </w:rPr>
              <w:t>Before submitting</w:t>
            </w:r>
          </w:p>
          <w:p>
            <w:r>
              <w:rPr>
                <w:rFonts w:ascii="Arial" w:hAnsi="Arial"/>
                <w:color w:val="1F2937"/>
                <w:sz w:val="20"/>
              </w:rPr>
              <w:t>Confirm Mom’s branch, rank if relevant, deployment dates, immigration timeline, and exact citizenship ceremony details. Use only details Mom is comfortable having in an application.</w:t>
            </w:r>
          </w:p>
        </w:tc>
      </w:tr>
    </w:tbl>
    <w:p>
      <w:pPr>
        <w:pStyle w:val="Heading2"/>
      </w:pPr>
      <w:r>
        <w:t>1. Open with Mom, but make the essay about you</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A natural opening fact is the contrast between July 4, Guyana, Baghdad, military service, and U.S. citizenship. Do not turn the opening into a résumé of Mom’s service.</w:t>
            </w:r>
          </w:p>
        </w:tc>
      </w:tr>
    </w:tbl>
    <w:p>
      <w:pPr>
        <w:spacing w:after="0"/>
      </w:pPr>
    </w:p>
    <w:p>
      <w:pPr>
        <w:keepNext/>
        <w:spacing w:before="60" w:after="40"/>
      </w:pPr>
      <w:r>
        <w:rPr>
          <w:rFonts w:ascii="Arial" w:hAnsi="Arial"/>
          <w:b/>
          <w:color w:val="17365D"/>
          <w:sz w:val="20"/>
        </w:rPr>
        <w:t>What is one real memory of Mom that makes these facts feel personal to you?</w:t>
      </w:r>
    </w:p>
    <w:p>
      <w:pPr>
        <w:pStyle w:val="SmallNote"/>
        <w:keepNext/>
      </w:pPr>
      <w:r>
        <w:rPr>
          <w:rFonts w:ascii="Arial" w:hAnsi="Arial"/>
          <w:i/>
          <w:color w:val="6B7280"/>
          <w:sz w:val="18"/>
        </w:rPr>
        <w:t>Think of something she said, did, expected, celebrated, or taught at home.</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When did you first understand that becoming a citizen while deployed in Iraq was unusual?</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tbl>
      <w:tblPr>
        <w:tblW w:type="auto" w:w="0"/>
        <w:tblLayout w:type="fixed"/>
        <w:tblLook w:firstColumn="1" w:firstRow="1" w:lastColumn="0" w:lastRow="0" w:noHBand="0" w:noVBand="1" w:val="04A0"/>
      </w:tblPr>
      <w:tblGrid>
        <w:gridCol w:w="10080"/>
      </w:tblGrid>
      <w:tr>
        <w:trPr>
          <w:cantSplit/>
        </w:trPr>
        <w:tc>
          <w:tcPr>
            <w:tcW w:type="dxa" w:w="10224"/>
            <w:shd w:fill="F7F1E3"/>
            <w:tcMar>
              <w:top w:w="100" w:type="dxa"/>
              <w:start w:w="140" w:type="dxa"/>
              <w:bottom w:w="100" w:type="dxa"/>
              <w:end w:w="140" w:type="dxa"/>
            </w:tcMar>
          </w:tcPr>
          <w:p>
            <w:r>
              <w:rPr>
                <w:rFonts w:ascii="Arial" w:hAnsi="Arial"/>
                <w:b/>
                <w:color w:val="B88A2D"/>
                <w:sz w:val="21"/>
              </w:rPr>
              <w:t>Recommendation</w:t>
            </w:r>
          </w:p>
          <w:p>
            <w:r>
              <w:rPr>
                <w:rFonts w:ascii="Arial" w:hAnsi="Arial"/>
                <w:color w:val="1F2937"/>
                <w:sz w:val="20"/>
              </w:rPr>
              <w:t>Let Jasmine decide what the July 4 / Baghdad connection means. That interpretation should come from her, not from a prewritten patriotic line.</w:t>
            </w:r>
          </w:p>
        </w:tc>
      </w:tr>
    </w:tbl>
    <w:p>
      <w:pPr>
        <w:spacing w:after="0"/>
      </w:pPr>
    </w:p>
    <w:p>
      <w:pPr>
        <w:pStyle w:val="Heading2"/>
      </w:pPr>
      <w:r>
        <w:t>2. What lesson did her journey teach you?</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The strongest available themes are service, responsibility, gratitude for opportunity, perseverance, commitment, and earning your way forward.</w:t>
            </w:r>
          </w:p>
        </w:tc>
      </w:tr>
    </w:tbl>
    <w:p>
      <w:pPr>
        <w:spacing w:after="0"/>
      </w:pPr>
    </w:p>
    <w:p>
      <w:pPr>
        <w:keepNext/>
        <w:spacing w:before="60" w:after="40"/>
      </w:pPr>
      <w:r>
        <w:rPr>
          <w:rFonts w:ascii="Arial" w:hAnsi="Arial"/>
          <w:b/>
          <w:color w:val="17365D"/>
          <w:sz w:val="20"/>
        </w:rPr>
        <w:t>The biggest lesson I learned from Mom is…</w:t>
      </w:r>
    </w:p>
    <w:p>
      <w:pPr>
        <w:pStyle w:val="SmallNote"/>
        <w:keepNext/>
      </w:pPr>
      <w:r>
        <w:rPr>
          <w:rFonts w:ascii="Arial" w:hAnsi="Arial"/>
          <w:i/>
          <w:color w:val="6B7280"/>
          <w:sz w:val="18"/>
        </w:rPr>
        <w:t>Choose one main lesson, not five.</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What did she do at home that made you learn that lesson?</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pStyle w:val="Heading2"/>
      </w:pPr>
      <w:r>
        <w:t>3. Prove that the lesson became yours</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Your own evidence includes a 4.0167 weighted GPA, the Cambridge AICE track, paid work, church/community service, photography clients, jazz.ysphotos, and national photography recognition.</w:t>
            </w:r>
          </w:p>
        </w:tc>
      </w:tr>
    </w:tbl>
    <w:p>
      <w:pPr>
        <w:spacing w:after="0"/>
      </w:pPr>
    </w:p>
    <w:p>
      <w:pPr>
        <w:keepNext/>
        <w:spacing w:before="60" w:after="40"/>
      </w:pPr>
      <w:r>
        <w:rPr>
          <w:rFonts w:ascii="Arial" w:hAnsi="Arial"/>
          <w:b/>
          <w:color w:val="17365D"/>
          <w:sz w:val="20"/>
        </w:rPr>
        <w:t>Which ONE part of your own life best proves the lesson?</w:t>
      </w:r>
    </w:p>
    <w:p>
      <w:pPr>
        <w:pStyle w:val="SmallNote"/>
        <w:keepNext/>
      </w:pPr>
      <w:r>
        <w:rPr>
          <w:rFonts w:ascii="Arial" w:hAnsi="Arial"/>
          <w:i/>
          <w:color w:val="6B7280"/>
          <w:sz w:val="18"/>
        </w:rPr>
        <w:t>Photography, work, school, service, leadership, or another true example.</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What did you have to do when that became difficult or inconvenient?</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pStyle w:val="Heading2"/>
      </w:pPr>
      <w:r>
        <w:t>4. Carry it forward</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You are already combining creativity, work, service, and entrepreneurship. College is the next place to carry the values forward, not simply a reward at the end of high school.</w:t>
            </w:r>
          </w:p>
        </w:tc>
      </w:tr>
    </w:tbl>
    <w:p>
      <w:pPr>
        <w:spacing w:after="0"/>
      </w:pPr>
    </w:p>
    <w:p>
      <w:pPr>
        <w:keepNext/>
        <w:spacing w:before="60" w:after="40"/>
      </w:pPr>
      <w:r>
        <w:rPr>
          <w:rFonts w:ascii="Arial" w:hAnsi="Arial"/>
          <w:b/>
          <w:color w:val="17365D"/>
          <w:sz w:val="20"/>
        </w:rPr>
        <w:t>What part of Mom’s example do you want to carry into college and adulthood?</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How will you live that value in your own way rather than simply copying Mom’s path?</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pStyle w:val="Heading1"/>
      </w:pPr>
      <w:r>
        <w:t>Simple essay flow</w:t>
      </w:r>
    </w:p>
    <w:tbl>
      <w:tblPr>
        <w:tblW w:type="auto" w:w="0"/>
        <w:tblLayout w:type="fixed"/>
        <w:tblLook w:firstColumn="1" w:firstRow="1" w:lastColumn="0" w:lastRow="0" w:noHBand="0" w:noVBand="1" w:val="04A0"/>
      </w:tblPr>
      <w:tblGrid>
        <w:gridCol w:w="936"/>
        <w:gridCol w:w="3024"/>
        <w:gridCol w:w="5976"/>
      </w:tblGrid>
      <w:tr>
        <w:trPr>
          <w:cantSplit/>
          <w:tblHeader w:val="true"/>
        </w:trPr>
        <w:tc>
          <w:tcPr>
            <w:tcW w:type="dxa" w:w="3408"/>
            <w:shd w:fill="17365D"/>
            <w:tcMar>
              <w:top w:w="80" w:type="dxa"/>
              <w:start w:w="100" w:type="dxa"/>
              <w:bottom w:w="80" w:type="dxa"/>
              <w:end w:w="100" w:type="dxa"/>
            </w:tcMar>
          </w:tcPr>
          <w:p>
            <w:r>
              <w:rPr>
                <w:rFonts w:ascii="Arial" w:hAnsi="Arial"/>
                <w:b/>
                <w:color w:val="FFFFFF"/>
                <w:sz w:val="19"/>
              </w:rPr>
              <w:t>#</w:t>
            </w:r>
          </w:p>
        </w:tc>
        <w:tc>
          <w:tcPr>
            <w:tcW w:type="dxa" w:w="3408"/>
            <w:shd w:fill="17365D"/>
            <w:tcMar>
              <w:top w:w="80" w:type="dxa"/>
              <w:start w:w="100" w:type="dxa"/>
              <w:bottom w:w="80" w:type="dxa"/>
              <w:end w:w="100" w:type="dxa"/>
            </w:tcMar>
          </w:tcPr>
          <w:p>
            <w:r>
              <w:rPr>
                <w:rFonts w:ascii="Arial" w:hAnsi="Arial"/>
                <w:b/>
                <w:color w:val="FFFFFF"/>
                <w:sz w:val="19"/>
              </w:rPr>
              <w:t>Section</w:t>
            </w:r>
          </w:p>
        </w:tc>
        <w:tc>
          <w:tcPr>
            <w:tcW w:type="dxa" w:w="3408"/>
            <w:shd w:fill="17365D"/>
            <w:tcMar>
              <w:top w:w="80" w:type="dxa"/>
              <w:start w:w="100" w:type="dxa"/>
              <w:bottom w:w="80" w:type="dxa"/>
              <w:end w:w="100" w:type="dxa"/>
            </w:tcMar>
          </w:tcPr>
          <w:p>
            <w:r>
              <w:rPr>
                <w:rFonts w:ascii="Arial" w:hAnsi="Arial"/>
                <w:b/>
                <w:color w:val="FFFFFF"/>
                <w:sz w:val="19"/>
              </w:rPr>
              <w:t>What to cover</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1</w:t>
            </w:r>
          </w:p>
        </w:tc>
        <w:tc>
          <w:tcPr>
            <w:tcW w:type="dxa" w:w="3024"/>
            <w:tcMar>
              <w:top w:w="85" w:type="dxa"/>
              <w:start w:w="100" w:type="dxa"/>
              <w:bottom w:w="85" w:type="dxa"/>
              <w:end w:w="100" w:type="dxa"/>
            </w:tcMar>
            <w:vAlign w:val="center"/>
          </w:tcPr>
          <w:p>
            <w:r>
              <w:rPr>
                <w:rFonts w:ascii="Arial" w:hAnsi="Arial"/>
                <w:b/>
                <w:color w:val="1F2937"/>
                <w:sz w:val="19"/>
              </w:rPr>
              <w:t>Opening memory</w:t>
            </w:r>
          </w:p>
        </w:tc>
        <w:tc>
          <w:tcPr>
            <w:tcW w:type="dxa" w:w="5976"/>
            <w:tcMar>
              <w:top w:w="85" w:type="dxa"/>
              <w:start w:w="100" w:type="dxa"/>
              <w:bottom w:w="85" w:type="dxa"/>
              <w:end w:w="100" w:type="dxa"/>
            </w:tcMar>
            <w:vAlign w:val="center"/>
          </w:tcPr>
          <w:p>
            <w:r>
              <w:rPr>
                <w:rFonts w:ascii="Arial" w:hAnsi="Arial"/>
                <w:color w:val="1F2937"/>
                <w:sz w:val="19"/>
              </w:rPr>
              <w:t>A personal scene or realization connected to Mom’s journey.</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2</w:t>
            </w:r>
          </w:p>
        </w:tc>
        <w:tc>
          <w:tcPr>
            <w:tcW w:type="dxa" w:w="3024"/>
            <w:tcMar>
              <w:top w:w="85" w:type="dxa"/>
              <w:start w:w="100" w:type="dxa"/>
              <w:bottom w:w="85" w:type="dxa"/>
              <w:end w:w="100" w:type="dxa"/>
            </w:tcMar>
            <w:vAlign w:val="center"/>
          </w:tcPr>
          <w:p>
            <w:r>
              <w:rPr>
                <w:rFonts w:ascii="Arial" w:hAnsi="Arial"/>
                <w:b/>
                <w:color w:val="1F2937"/>
                <w:sz w:val="19"/>
              </w:rPr>
              <w:t>Her journey</w:t>
            </w:r>
          </w:p>
        </w:tc>
        <w:tc>
          <w:tcPr>
            <w:tcW w:type="dxa" w:w="5976"/>
            <w:tcMar>
              <w:top w:w="85" w:type="dxa"/>
              <w:start w:w="100" w:type="dxa"/>
              <w:bottom w:w="85" w:type="dxa"/>
              <w:end w:w="100" w:type="dxa"/>
            </w:tcMar>
            <w:vAlign w:val="center"/>
          </w:tcPr>
          <w:p>
            <w:r>
              <w:rPr>
                <w:rFonts w:ascii="Arial" w:hAnsi="Arial"/>
                <w:color w:val="1F2937"/>
                <w:sz w:val="19"/>
              </w:rPr>
              <w:t>Only the background needed: Guyana, service, Iraq, citizenship.</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3</w:t>
            </w:r>
          </w:p>
        </w:tc>
        <w:tc>
          <w:tcPr>
            <w:tcW w:type="dxa" w:w="3024"/>
            <w:tcMar>
              <w:top w:w="85" w:type="dxa"/>
              <w:start w:w="100" w:type="dxa"/>
              <w:bottom w:w="85" w:type="dxa"/>
              <w:end w:w="100" w:type="dxa"/>
            </w:tcMar>
            <w:vAlign w:val="center"/>
          </w:tcPr>
          <w:p>
            <w:r>
              <w:rPr>
                <w:rFonts w:ascii="Arial" w:hAnsi="Arial"/>
                <w:b/>
                <w:color w:val="1F2937"/>
                <w:sz w:val="19"/>
              </w:rPr>
              <w:t>Your lesson</w:t>
            </w:r>
          </w:p>
        </w:tc>
        <w:tc>
          <w:tcPr>
            <w:tcW w:type="dxa" w:w="5976"/>
            <w:tcMar>
              <w:top w:w="85" w:type="dxa"/>
              <w:start w:w="100" w:type="dxa"/>
              <w:bottom w:w="85" w:type="dxa"/>
              <w:end w:w="100" w:type="dxa"/>
            </w:tcMar>
            <w:vAlign w:val="center"/>
          </w:tcPr>
          <w:p>
            <w:r>
              <w:rPr>
                <w:rFonts w:ascii="Arial" w:hAnsi="Arial"/>
                <w:color w:val="1F2937"/>
                <w:sz w:val="19"/>
              </w:rPr>
              <w:t>What you learned by growing up with that example.</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4</w:t>
            </w:r>
          </w:p>
        </w:tc>
        <w:tc>
          <w:tcPr>
            <w:tcW w:type="dxa" w:w="3024"/>
            <w:tcMar>
              <w:top w:w="85" w:type="dxa"/>
              <w:start w:w="100" w:type="dxa"/>
              <w:bottom w:w="85" w:type="dxa"/>
              <w:end w:w="100" w:type="dxa"/>
            </w:tcMar>
            <w:vAlign w:val="center"/>
          </w:tcPr>
          <w:p>
            <w:r>
              <w:rPr>
                <w:rFonts w:ascii="Arial" w:hAnsi="Arial"/>
                <w:b/>
                <w:color w:val="1F2937"/>
                <w:sz w:val="19"/>
              </w:rPr>
              <w:t>Your proof</w:t>
            </w:r>
          </w:p>
        </w:tc>
        <w:tc>
          <w:tcPr>
            <w:tcW w:type="dxa" w:w="5976"/>
            <w:tcMar>
              <w:top w:w="85" w:type="dxa"/>
              <w:start w:w="100" w:type="dxa"/>
              <w:bottom w:w="85" w:type="dxa"/>
              <w:end w:w="100" w:type="dxa"/>
            </w:tcMar>
            <w:vAlign w:val="center"/>
          </w:tcPr>
          <w:p>
            <w:r>
              <w:rPr>
                <w:rFonts w:ascii="Arial" w:hAnsi="Arial"/>
                <w:color w:val="1F2937"/>
                <w:sz w:val="19"/>
              </w:rPr>
              <w:t>One example from your own life showing the lesson in action.</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5</w:t>
            </w:r>
          </w:p>
        </w:tc>
        <w:tc>
          <w:tcPr>
            <w:tcW w:type="dxa" w:w="3024"/>
            <w:tcMar>
              <w:top w:w="85" w:type="dxa"/>
              <w:start w:w="100" w:type="dxa"/>
              <w:bottom w:w="85" w:type="dxa"/>
              <w:end w:w="100" w:type="dxa"/>
            </w:tcMar>
            <w:vAlign w:val="center"/>
          </w:tcPr>
          <w:p>
            <w:r>
              <w:rPr>
                <w:rFonts w:ascii="Arial" w:hAnsi="Arial"/>
                <w:b/>
                <w:color w:val="1F2937"/>
                <w:sz w:val="19"/>
              </w:rPr>
              <w:t>Forward</w:t>
            </w:r>
          </w:p>
        </w:tc>
        <w:tc>
          <w:tcPr>
            <w:tcW w:type="dxa" w:w="5976"/>
            <w:tcMar>
              <w:top w:w="85" w:type="dxa"/>
              <w:start w:w="100" w:type="dxa"/>
              <w:bottom w:w="85" w:type="dxa"/>
              <w:end w:w="100" w:type="dxa"/>
            </w:tcMar>
            <w:vAlign w:val="center"/>
          </w:tcPr>
          <w:p>
            <w:r>
              <w:rPr>
                <w:rFonts w:ascii="Arial" w:hAnsi="Arial"/>
                <w:color w:val="1F2937"/>
                <w:sz w:val="19"/>
              </w:rPr>
              <w:t>How you will carry the value into college and adulthood.</w:t>
            </w:r>
          </w:p>
        </w:tc>
      </w:tr>
    </w:tbl>
    <w:p/>
    <w:p>
      <w:pPr>
        <w:pStyle w:val="Heading1"/>
      </w:pPr>
      <w:r>
        <w:t>Keep it in Jasmine’s voice</w:t>
      </w:r>
    </w:p>
    <w:tbl>
      <w:tblPr>
        <w:tblW w:type="auto" w:w="0"/>
        <w:tblLayout w:type="fixed"/>
        <w:tblLook w:firstColumn="1" w:firstRow="1" w:lastColumn="0" w:lastRow="0" w:noHBand="0" w:noVBand="1" w:val="04A0"/>
      </w:tblPr>
      <w:tblGrid>
        <w:gridCol w:w="10080"/>
      </w:tblGrid>
      <w:tr>
        <w:trPr>
          <w:cantSplit/>
        </w:trPr>
        <w:tc>
          <w:tcPr>
            <w:tcW w:type="dxa" w:w="10224"/>
            <w:shd w:fill="F7F1E3"/>
            <w:tcMar>
              <w:top w:w="100" w:type="dxa"/>
              <w:start w:w="140" w:type="dxa"/>
              <w:bottom w:w="100" w:type="dxa"/>
              <w:end w:w="140" w:type="dxa"/>
            </w:tcMar>
          </w:tcPr>
          <w:p>
            <w:r>
              <w:rPr>
                <w:rFonts w:ascii="Arial" w:hAnsi="Arial"/>
                <w:b/>
                <w:color w:val="B88A2D"/>
                <w:sz w:val="21"/>
              </w:rPr>
              <w:t>Use the facts. Do not let the worksheet write the essay for you.</w:t>
            </w:r>
          </w:p>
          <w:p>
            <w:r>
              <w:rPr>
                <w:rFonts w:ascii="Arial" w:hAnsi="Arial"/>
                <w:color w:val="1F2937"/>
                <w:sz w:val="20"/>
              </w:rPr>
              <w:t>The blanks are the most important part. They should contain Jasmine’s own memory, explanation, reaction, and wording. Specific, ordinary details are better than dramatic language.</w:t>
            </w:r>
          </w:p>
        </w:tc>
      </w:tr>
    </w:tbl>
    <w:p>
      <w:pPr>
        <w:pStyle w:val="ListBullet"/>
        <w:ind w:left="317" w:hanging="230"/>
      </w:pPr>
      <w:r>
        <w:rPr>
          <w:rFonts w:ascii="Arial" w:hAnsi="Arial"/>
          <w:color w:val="1F2937"/>
          <w:sz w:val="20"/>
        </w:rPr>
        <w:t>Do not call Guyana a “Third World country” unless Jasmine is quoting a specific family experience and truly wants that wording.</w:t>
      </w:r>
    </w:p>
    <w:p>
      <w:pPr>
        <w:pStyle w:val="ListBullet"/>
        <w:ind w:left="317" w:hanging="230"/>
      </w:pPr>
      <w:r>
        <w:rPr>
          <w:rFonts w:ascii="Arial" w:hAnsi="Arial"/>
          <w:color w:val="1F2937"/>
          <w:sz w:val="20"/>
        </w:rPr>
        <w:t>Do not make Mom sound like a symbol. Keep her human and specific.</w:t>
      </w:r>
    </w:p>
    <w:p>
      <w:pPr>
        <w:pStyle w:val="ListBullet"/>
        <w:ind w:left="317" w:hanging="230"/>
      </w:pPr>
      <w:r>
        <w:rPr>
          <w:rFonts w:ascii="Arial" w:hAnsi="Arial"/>
          <w:color w:val="1F2937"/>
          <w:sz w:val="20"/>
        </w:rPr>
        <w:t>Do not write combat experiences as if Jasmine personally experienced them.</w:t>
      </w:r>
    </w:p>
    <w:p>
      <w:pPr>
        <w:pStyle w:val="ListBullet"/>
        <w:ind w:left="317" w:hanging="230"/>
      </w:pPr>
      <w:r>
        <w:rPr>
          <w:rFonts w:ascii="Arial" w:hAnsi="Arial"/>
          <w:color w:val="1F2937"/>
          <w:sz w:val="20"/>
        </w:rPr>
        <w:t>Patriotism will feel strongest when it comes from concrete family facts and Jasmine’s own reflection.</w:t>
      </w: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7"/>
      </w:rPr>
      <w:t>Jasmine College Plan  |  Scholarship Essay Builder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B88A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