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3AFC" w14:textId="5F361CC8" w:rsidR="00EC21F5" w:rsidRPr="00384DDF" w:rsidRDefault="00384DDF" w:rsidP="00384DDF">
      <w:pPr>
        <w:spacing w:after="40"/>
        <w:rPr>
          <w:sz w:val="22"/>
          <w:szCs w:val="22"/>
        </w:rPr>
      </w:pPr>
      <w:r w:rsidRPr="00384DDF">
        <w:rPr>
          <w:b/>
          <w:bCs/>
          <w:sz w:val="44"/>
          <w:szCs w:val="44"/>
        </w:rPr>
        <w:t>MercaGo</w:t>
      </w:r>
      <w:r w:rsidRPr="00384DDF">
        <w:rPr>
          <w:sz w:val="32"/>
          <w:szCs w:val="32"/>
        </w:rPr>
        <w:t xml:space="preserve"> </w:t>
      </w:r>
      <w:proofErr w:type="gramStart"/>
      <w:r w:rsidRPr="00384DDF">
        <w:rPr>
          <w:sz w:val="32"/>
          <w:szCs w:val="32"/>
        </w:rPr>
        <w:t>–</w:t>
      </w:r>
      <w:r w:rsidR="00000000" w:rsidRPr="00384DDF">
        <w:rPr>
          <w:sz w:val="32"/>
          <w:szCs w:val="32"/>
        </w:rPr>
        <w:t xml:space="preserve">  Normativa</w:t>
      </w:r>
      <w:proofErr w:type="gramEnd"/>
      <w:r w:rsidR="00000000" w:rsidRPr="00384DDF">
        <w:rPr>
          <w:sz w:val="32"/>
          <w:szCs w:val="32"/>
        </w:rPr>
        <w:t xml:space="preserve"> del Proyecto</w:t>
      </w:r>
      <w:r w:rsidR="00000000" w:rsidRPr="00384DDF">
        <w:rPr>
          <w:color w:val="666666"/>
          <w:sz w:val="22"/>
          <w:szCs w:val="22"/>
        </w:rPr>
        <w:t xml:space="preserve">       </w:t>
      </w:r>
    </w:p>
    <w:p w14:paraId="794FC676" w14:textId="77777777" w:rsidR="00EC21F5" w:rsidRPr="00384DDF" w:rsidRDefault="00EC21F5" w:rsidP="00384DDF">
      <w:pPr>
        <w:spacing w:after="90"/>
        <w:rPr>
          <w:sz w:val="22"/>
          <w:szCs w:val="22"/>
        </w:rPr>
      </w:pPr>
    </w:p>
    <w:p w14:paraId="047D92E2" w14:textId="77777777" w:rsidR="00EC21F5" w:rsidRPr="00384DDF" w:rsidRDefault="00000000" w:rsidP="00384DDF">
      <w:pPr>
        <w:spacing w:after="60"/>
        <w:rPr>
          <w:sz w:val="22"/>
          <w:szCs w:val="22"/>
        </w:rPr>
      </w:pPr>
      <w:r w:rsidRPr="00384DDF">
        <w:rPr>
          <w:sz w:val="22"/>
          <w:szCs w:val="22"/>
        </w:rPr>
        <w:t>Este documento resume las normas, leyes y estándares que debe seguir MercaGo durante su desarrollo y operación. La plataforma maneja datos personales, ubicación en tiempo real e información financiera, lo que obliga a cumplir ciertas reglas en cuatro áreas clave.</w:t>
      </w:r>
    </w:p>
    <w:p w14:paraId="60789EDF" w14:textId="77777777" w:rsidR="00EC21F5" w:rsidRPr="00384DDF" w:rsidRDefault="00EC21F5" w:rsidP="00384DDF">
      <w:pPr>
        <w:spacing w:after="80"/>
        <w:rPr>
          <w:sz w:val="22"/>
          <w:szCs w:val="22"/>
        </w:rPr>
      </w:pPr>
    </w:p>
    <w:p w14:paraId="0E73C8C0" w14:textId="77777777" w:rsidR="00EC21F5" w:rsidRPr="00384DDF" w:rsidRDefault="00000000" w:rsidP="00384DDF">
      <w:pPr>
        <w:spacing w:before="180" w:after="80"/>
        <w:rPr>
          <w:sz w:val="22"/>
          <w:szCs w:val="22"/>
        </w:rPr>
      </w:pPr>
      <w:r w:rsidRPr="00384DDF">
        <w:rPr>
          <w:b/>
          <w:bCs/>
          <w:sz w:val="32"/>
          <w:szCs w:val="32"/>
        </w:rPr>
        <w:t>1. Protección de datos personales</w:t>
      </w:r>
    </w:p>
    <w:p w14:paraId="0AE92B45" w14:textId="77777777" w:rsidR="00EC21F5" w:rsidRPr="00384DDF" w:rsidRDefault="00000000" w:rsidP="00384DDF">
      <w:pPr>
        <w:spacing w:after="60"/>
        <w:rPr>
          <w:sz w:val="22"/>
          <w:szCs w:val="22"/>
        </w:rPr>
      </w:pPr>
      <w:r w:rsidRPr="00384DDF">
        <w:rPr>
          <w:sz w:val="22"/>
          <w:szCs w:val="22"/>
        </w:rPr>
        <w:t xml:space="preserve">MercaGo guarda nombre, correo, teléfono, dirección y ubicación GPS de los usuarios. Por eso debe cumplir la Ley 1581 de 2012 (Colombia), que obliga a pedir permiso antes de guardar cualquier dato y a explicar para qué se va a usar. También aplica el GDPR (Reglamento europeo de privacidad) si la </w:t>
      </w:r>
      <w:proofErr w:type="gramStart"/>
      <w:r w:rsidRPr="00384DDF">
        <w:rPr>
          <w:sz w:val="22"/>
          <w:szCs w:val="22"/>
        </w:rPr>
        <w:t>app</w:t>
      </w:r>
      <w:proofErr w:type="gramEnd"/>
      <w:r w:rsidRPr="00384DDF">
        <w:rPr>
          <w:sz w:val="22"/>
          <w:szCs w:val="22"/>
        </w:rPr>
        <w:t xml:space="preserve"> llega a usuarios fuera de Colombia.</w:t>
      </w:r>
    </w:p>
    <w:p w14:paraId="2E2DAE6A" w14:textId="77777777" w:rsidR="00EC21F5" w:rsidRPr="00384DDF" w:rsidRDefault="00EC21F5" w:rsidP="00384DDF">
      <w:pPr>
        <w:spacing w:after="60"/>
        <w:rPr>
          <w:sz w:val="22"/>
          <w:szCs w:val="22"/>
        </w:rPr>
      </w:pPr>
    </w:p>
    <w:p w14:paraId="2988E2C3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Consentimiento informado: </w:t>
      </w:r>
      <w:r w:rsidRPr="00384DDF">
        <w:rPr>
          <w:sz w:val="22"/>
          <w:szCs w:val="22"/>
        </w:rPr>
        <w:t>el usuario acepta términos y política de privacidad antes de registrarse.</w:t>
      </w:r>
    </w:p>
    <w:p w14:paraId="03702CE8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Uso limitado del GPS: </w:t>
      </w:r>
      <w:r w:rsidRPr="00384DDF">
        <w:rPr>
          <w:sz w:val="22"/>
          <w:szCs w:val="22"/>
        </w:rPr>
        <w:t>la ubicación solo se usa para mostrar tiendas cercanas y calcular rutas; no se guarda al cerrar sesión.</w:t>
      </w:r>
    </w:p>
    <w:p w14:paraId="01778080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Derecho a borrar datos: </w:t>
      </w:r>
      <w:r w:rsidRPr="00384DDF">
        <w:rPr>
          <w:sz w:val="22"/>
          <w:szCs w:val="22"/>
        </w:rPr>
        <w:t>desde el perfil, cada usuario puede ver, editar o eliminar su información personal.</w:t>
      </w:r>
    </w:p>
    <w:p w14:paraId="60895529" w14:textId="77777777" w:rsidR="00EC21F5" w:rsidRPr="00384DDF" w:rsidRDefault="00EC21F5" w:rsidP="00384DDF">
      <w:pPr>
        <w:spacing w:after="80"/>
        <w:rPr>
          <w:sz w:val="22"/>
          <w:szCs w:val="22"/>
        </w:rPr>
      </w:pPr>
    </w:p>
    <w:p w14:paraId="0F94FB9C" w14:textId="77777777" w:rsidR="00EC21F5" w:rsidRPr="00384DDF" w:rsidRDefault="00000000" w:rsidP="00384DDF">
      <w:pPr>
        <w:spacing w:before="180" w:after="80"/>
        <w:rPr>
          <w:sz w:val="22"/>
          <w:szCs w:val="22"/>
        </w:rPr>
      </w:pPr>
      <w:r w:rsidRPr="00384DDF">
        <w:rPr>
          <w:b/>
          <w:bCs/>
          <w:sz w:val="32"/>
          <w:szCs w:val="32"/>
        </w:rPr>
        <w:t>2. Estándares para documentar el sistema</w:t>
      </w:r>
    </w:p>
    <w:p w14:paraId="61855C52" w14:textId="77777777" w:rsidR="00EC21F5" w:rsidRPr="00384DDF" w:rsidRDefault="00000000" w:rsidP="00384DDF">
      <w:pPr>
        <w:spacing w:after="60"/>
        <w:rPr>
          <w:sz w:val="22"/>
          <w:szCs w:val="22"/>
        </w:rPr>
      </w:pPr>
      <w:r w:rsidRPr="00384DDF">
        <w:rPr>
          <w:sz w:val="22"/>
          <w:szCs w:val="22"/>
        </w:rPr>
        <w:t>El documento de requisitos (SRS) — que describe todo lo que debe hacer la aplicación — se redacta siguiendo normas internacionales para que sea claro, completo y fácil de revisar por cualquier desarrollador o auditor.</w:t>
      </w:r>
    </w:p>
    <w:p w14:paraId="5433AF06" w14:textId="77777777" w:rsidR="00EC21F5" w:rsidRPr="00384DDF" w:rsidRDefault="00EC21F5" w:rsidP="00384DDF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EC21F5" w:rsidRPr="00384DDF" w14:paraId="5316D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4EF9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Norma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7F79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Para qué sirve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16B5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Cómo aplica en MercaGo</w:t>
            </w:r>
          </w:p>
        </w:tc>
      </w:tr>
      <w:tr w:rsidR="00EC21F5" w:rsidRPr="00384DDF" w14:paraId="31AD0D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AADB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ISO/IEC/IEEE 29148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5FB0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Define cómo escribir requisitos de software de forma correcta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AB65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Guia la estructura del SRS de MercaGo</w:t>
            </w:r>
          </w:p>
        </w:tc>
      </w:tr>
      <w:tr w:rsidR="00EC21F5" w:rsidRPr="00384DDF" w14:paraId="1A033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B97C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ISO/IEC 25010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B472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Lista los criterios de calidad que debe tener un software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508E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Se usa para definir los requisitos no funcionales (velocidad, seguridad, etc.)</w:t>
            </w:r>
          </w:p>
        </w:tc>
      </w:tr>
      <w:tr w:rsidR="00EC21F5" w:rsidRPr="00384DDF" w14:paraId="0BBD5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03D9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ISO/IEC 27001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5C92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Estándar internacional de seguridad de la información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247B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Marco de referencia para proteger los datos de usuarios y comercios</w:t>
            </w:r>
          </w:p>
        </w:tc>
      </w:tr>
    </w:tbl>
    <w:p w14:paraId="7A6DF408" w14:textId="77777777" w:rsidR="00EC21F5" w:rsidRPr="00384DDF" w:rsidRDefault="00EC21F5" w:rsidP="00384DDF">
      <w:pPr>
        <w:spacing w:after="90"/>
        <w:rPr>
          <w:sz w:val="22"/>
          <w:szCs w:val="22"/>
        </w:rPr>
      </w:pPr>
    </w:p>
    <w:p w14:paraId="6737BF81" w14:textId="77777777" w:rsidR="00EC21F5" w:rsidRPr="00384DDF" w:rsidRDefault="00000000" w:rsidP="00384DDF">
      <w:pPr>
        <w:spacing w:before="180" w:after="80"/>
        <w:rPr>
          <w:sz w:val="22"/>
          <w:szCs w:val="22"/>
        </w:rPr>
      </w:pPr>
      <w:r w:rsidRPr="00384DDF">
        <w:rPr>
          <w:b/>
          <w:bCs/>
          <w:sz w:val="32"/>
          <w:szCs w:val="32"/>
        </w:rPr>
        <w:t>3. Seguridad del sistema – OWASP Top 10</w:t>
      </w:r>
    </w:p>
    <w:p w14:paraId="60BAA794" w14:textId="77777777" w:rsidR="00EC21F5" w:rsidRPr="00384DDF" w:rsidRDefault="00000000" w:rsidP="00384DDF">
      <w:pPr>
        <w:spacing w:after="60"/>
        <w:rPr>
          <w:sz w:val="22"/>
          <w:szCs w:val="22"/>
        </w:rPr>
      </w:pPr>
      <w:r w:rsidRPr="00384DDF">
        <w:rPr>
          <w:sz w:val="22"/>
          <w:szCs w:val="22"/>
        </w:rPr>
        <w:t xml:space="preserve">OWASP (Open </w:t>
      </w:r>
      <w:proofErr w:type="spellStart"/>
      <w:r w:rsidRPr="00384DDF">
        <w:rPr>
          <w:sz w:val="22"/>
          <w:szCs w:val="22"/>
        </w:rPr>
        <w:t>Worldwide</w:t>
      </w:r>
      <w:proofErr w:type="spellEnd"/>
      <w:r w:rsidRPr="00384DDF">
        <w:rPr>
          <w:sz w:val="22"/>
          <w:szCs w:val="22"/>
        </w:rPr>
        <w:t xml:space="preserve"> </w:t>
      </w:r>
      <w:proofErr w:type="spellStart"/>
      <w:r w:rsidRPr="00384DDF">
        <w:rPr>
          <w:sz w:val="22"/>
          <w:szCs w:val="22"/>
        </w:rPr>
        <w:t>Application</w:t>
      </w:r>
      <w:proofErr w:type="spellEnd"/>
      <w:r w:rsidRPr="00384DDF">
        <w:rPr>
          <w:sz w:val="22"/>
          <w:szCs w:val="22"/>
        </w:rPr>
        <w:t xml:space="preserve"> Security Project) es una organización que publica cada año los 10 errores de seguridad más comunes en aplicaciones web. MercaGo debe evitarlos todos. Los más importantes para este proyecto son:</w:t>
      </w:r>
    </w:p>
    <w:p w14:paraId="73BBD24C" w14:textId="77777777" w:rsidR="00EC21F5" w:rsidRPr="00384DDF" w:rsidRDefault="00EC21F5" w:rsidP="00384DDF">
      <w:pPr>
        <w:spacing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21F5" w:rsidRPr="00384DDF" w14:paraId="293D3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9F48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Riesgo</w:t>
            </w:r>
          </w:p>
        </w:tc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2F66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Qué se hace en MercaGo para evitarlo</w:t>
            </w:r>
          </w:p>
        </w:tc>
      </w:tr>
      <w:tr w:rsidR="00EC21F5" w:rsidRPr="00384DDF" w14:paraId="2EB6C2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C338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Contraseñas mal guardadas</w:t>
            </w:r>
          </w:p>
        </w:tc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0021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 xml:space="preserve">Se guardan cifradas con </w:t>
            </w:r>
            <w:proofErr w:type="spellStart"/>
            <w:r w:rsidRPr="00384DDF">
              <w:rPr>
                <w:sz w:val="22"/>
                <w:szCs w:val="22"/>
              </w:rPr>
              <w:t>Bcrypt</w:t>
            </w:r>
            <w:proofErr w:type="spellEnd"/>
            <w:r w:rsidRPr="00384DDF">
              <w:rPr>
                <w:sz w:val="22"/>
                <w:szCs w:val="22"/>
              </w:rPr>
              <w:t xml:space="preserve"> (un algoritmo que las vuelve ilegibles incluso para el propio sistema).</w:t>
            </w:r>
          </w:p>
        </w:tc>
      </w:tr>
      <w:tr w:rsidR="00EC21F5" w:rsidRPr="00384DDF" w14:paraId="51F81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A680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Datos robados en tránsito</w:t>
            </w:r>
          </w:p>
        </w:tc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548B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Toda la comunicación va por TLS 1.3 (el candado “https” que protege los datos mientras viajan).</w:t>
            </w:r>
          </w:p>
        </w:tc>
      </w:tr>
      <w:tr w:rsidR="00EC21F5" w:rsidRPr="00384DDF" w14:paraId="15E39B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A4CF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lastRenderedPageBreak/>
              <w:t>Inyección de comandos maliciosos</w:t>
            </w:r>
          </w:p>
        </w:tc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5E6E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Se usa un ORM (Prisma) que bloquea comandos extraños que alguien pudiera meter en los formularios.</w:t>
            </w:r>
          </w:p>
        </w:tc>
      </w:tr>
      <w:tr w:rsidR="00EC21F5" w:rsidRPr="00384DDF" w14:paraId="142A4F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F81DE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Acceso sin permisos</w:t>
            </w:r>
          </w:p>
        </w:tc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02E8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Cada usuario solo ve lo que le corresponde: compradores, tenderos y administradores tienen accesos distintos.</w:t>
            </w:r>
          </w:p>
        </w:tc>
      </w:tr>
      <w:tr w:rsidR="00EC21F5" w:rsidRPr="00384DDF" w14:paraId="603934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3E32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Intentos de hackeo por fuerza bruta</w:t>
            </w:r>
          </w:p>
        </w:tc>
        <w:tc>
          <w:tcPr>
            <w:tcW w:w="6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D11D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El sistema bloquea una cuenta temporalmente después de 5 intentos fallidos de contraseña.</w:t>
            </w:r>
          </w:p>
        </w:tc>
      </w:tr>
    </w:tbl>
    <w:p w14:paraId="0D97739E" w14:textId="77777777" w:rsidR="00EC21F5" w:rsidRPr="00384DDF" w:rsidRDefault="00EC21F5" w:rsidP="00384DDF">
      <w:pPr>
        <w:spacing w:after="90"/>
        <w:rPr>
          <w:sz w:val="22"/>
          <w:szCs w:val="22"/>
        </w:rPr>
      </w:pPr>
    </w:p>
    <w:p w14:paraId="063B367D" w14:textId="77777777" w:rsidR="00EC21F5" w:rsidRPr="00384DDF" w:rsidRDefault="00000000" w:rsidP="00384DDF">
      <w:pPr>
        <w:spacing w:before="180" w:after="80"/>
        <w:rPr>
          <w:sz w:val="22"/>
          <w:szCs w:val="22"/>
        </w:rPr>
      </w:pPr>
      <w:r w:rsidRPr="00384DDF">
        <w:rPr>
          <w:b/>
          <w:bCs/>
          <w:sz w:val="32"/>
          <w:szCs w:val="32"/>
        </w:rPr>
        <w:t>4. Accesibilidad – WCAG 2.1</w:t>
      </w:r>
    </w:p>
    <w:p w14:paraId="28A614D4" w14:textId="77777777" w:rsidR="00EC21F5" w:rsidRPr="00384DDF" w:rsidRDefault="00000000" w:rsidP="00384DDF">
      <w:pPr>
        <w:spacing w:after="60"/>
        <w:rPr>
          <w:sz w:val="22"/>
          <w:szCs w:val="22"/>
        </w:rPr>
      </w:pPr>
      <w:r w:rsidRPr="00384DDF">
        <w:rPr>
          <w:sz w:val="22"/>
          <w:szCs w:val="22"/>
        </w:rPr>
        <w:t xml:space="preserve">WCAG (Web Content </w:t>
      </w:r>
      <w:proofErr w:type="spellStart"/>
      <w:r w:rsidRPr="00384DDF">
        <w:rPr>
          <w:sz w:val="22"/>
          <w:szCs w:val="22"/>
        </w:rPr>
        <w:t>Accessibility</w:t>
      </w:r>
      <w:proofErr w:type="spellEnd"/>
      <w:r w:rsidRPr="00384DDF">
        <w:rPr>
          <w:sz w:val="22"/>
          <w:szCs w:val="22"/>
        </w:rPr>
        <w:t xml:space="preserve"> </w:t>
      </w:r>
      <w:proofErr w:type="spellStart"/>
      <w:r w:rsidRPr="00384DDF">
        <w:rPr>
          <w:sz w:val="22"/>
          <w:szCs w:val="22"/>
        </w:rPr>
        <w:t>Guidelines</w:t>
      </w:r>
      <w:proofErr w:type="spellEnd"/>
      <w:r w:rsidRPr="00384DDF">
        <w:rPr>
          <w:sz w:val="22"/>
          <w:szCs w:val="22"/>
        </w:rPr>
        <w:t>) son las reglas del W3C — la organización que define los estándares de internet — para que las aplicaciones sean fáciles de usar por todo tipo de personas, incluyendo tenderos con poca experiencia digital o personas con alguna discapacidad visual.</w:t>
      </w:r>
    </w:p>
    <w:p w14:paraId="0679E46F" w14:textId="77777777" w:rsidR="00EC21F5" w:rsidRPr="00384DDF" w:rsidRDefault="00EC21F5" w:rsidP="00384DDF">
      <w:pPr>
        <w:spacing w:after="60"/>
        <w:rPr>
          <w:sz w:val="22"/>
          <w:szCs w:val="22"/>
        </w:rPr>
      </w:pPr>
    </w:p>
    <w:p w14:paraId="0D3D1A85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Contraste de colores: </w:t>
      </w:r>
      <w:r w:rsidRPr="00384DDF">
        <w:rPr>
          <w:sz w:val="22"/>
          <w:szCs w:val="22"/>
        </w:rPr>
        <w:t>el texto debe verse claro sobre el fondo (relación mínima 4.5:1, exigida por el nivel AA de WCAG).</w:t>
      </w:r>
    </w:p>
    <w:p w14:paraId="7C2F0986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Tamaño de letra: </w:t>
      </w:r>
      <w:r w:rsidRPr="00384DDF">
        <w:rPr>
          <w:sz w:val="22"/>
          <w:szCs w:val="22"/>
        </w:rPr>
        <w:t xml:space="preserve">mínimo 12 </w:t>
      </w:r>
      <w:proofErr w:type="spellStart"/>
      <w:r w:rsidRPr="00384DDF">
        <w:rPr>
          <w:sz w:val="22"/>
          <w:szCs w:val="22"/>
        </w:rPr>
        <w:t>px</w:t>
      </w:r>
      <w:proofErr w:type="spellEnd"/>
      <w:r w:rsidRPr="00384DDF">
        <w:rPr>
          <w:sz w:val="22"/>
          <w:szCs w:val="22"/>
        </w:rPr>
        <w:t xml:space="preserve"> en toda la </w:t>
      </w:r>
      <w:proofErr w:type="gramStart"/>
      <w:r w:rsidRPr="00384DDF">
        <w:rPr>
          <w:sz w:val="22"/>
          <w:szCs w:val="22"/>
        </w:rPr>
        <w:t>app</w:t>
      </w:r>
      <w:proofErr w:type="gramEnd"/>
      <w:r w:rsidRPr="00384DDF">
        <w:rPr>
          <w:sz w:val="22"/>
          <w:szCs w:val="22"/>
        </w:rPr>
        <w:t xml:space="preserve"> para que sea legible en pantallas pequeñas.</w:t>
      </w:r>
    </w:p>
    <w:p w14:paraId="338D5623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Flujo de compra simple: </w:t>
      </w:r>
      <w:r w:rsidRPr="00384DDF">
        <w:rPr>
          <w:sz w:val="22"/>
          <w:szCs w:val="22"/>
        </w:rPr>
        <w:t>máximo 5 pasos para completar un pedido, con indicador de en qué paso va el usuario.</w:t>
      </w:r>
    </w:p>
    <w:p w14:paraId="502E4B50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Compatible con lectores de pantalla: </w:t>
      </w:r>
      <w:r w:rsidRPr="00384DDF">
        <w:rPr>
          <w:sz w:val="22"/>
          <w:szCs w:val="22"/>
        </w:rPr>
        <w:t>los botones y formularios tienen etiquetas de texto para que las personas con baja visión puedan usarlos.</w:t>
      </w:r>
    </w:p>
    <w:p w14:paraId="1B0C2AA9" w14:textId="77777777" w:rsidR="00EC21F5" w:rsidRPr="00384DDF" w:rsidRDefault="00000000" w:rsidP="00384DDF">
      <w:pPr>
        <w:pStyle w:val="Prrafodelista"/>
        <w:numPr>
          <w:ilvl w:val="0"/>
          <w:numId w:val="2"/>
        </w:numPr>
        <w:spacing w:after="50"/>
        <w:rPr>
          <w:sz w:val="22"/>
          <w:szCs w:val="22"/>
        </w:rPr>
      </w:pPr>
      <w:r w:rsidRPr="00384DDF">
        <w:rPr>
          <w:b/>
          <w:bCs/>
          <w:sz w:val="22"/>
          <w:szCs w:val="22"/>
        </w:rPr>
        <w:t xml:space="preserve">Diseño responsive: </w:t>
      </w:r>
      <w:r w:rsidRPr="00384DDF">
        <w:rPr>
          <w:sz w:val="22"/>
          <w:szCs w:val="22"/>
        </w:rPr>
        <w:t xml:space="preserve">la interfaz funciona igual en celular, </w:t>
      </w:r>
      <w:proofErr w:type="spellStart"/>
      <w:r w:rsidRPr="00384DDF">
        <w:rPr>
          <w:sz w:val="22"/>
          <w:szCs w:val="22"/>
        </w:rPr>
        <w:t>tablet</w:t>
      </w:r>
      <w:proofErr w:type="spellEnd"/>
      <w:r w:rsidRPr="00384DDF">
        <w:rPr>
          <w:sz w:val="22"/>
          <w:szCs w:val="22"/>
        </w:rPr>
        <w:t xml:space="preserve"> y computador sin perder funciones.</w:t>
      </w:r>
    </w:p>
    <w:p w14:paraId="3CCD4CC4" w14:textId="77777777" w:rsidR="00EC21F5" w:rsidRPr="00384DDF" w:rsidRDefault="00EC21F5" w:rsidP="00384DDF">
      <w:pPr>
        <w:spacing w:after="100"/>
        <w:rPr>
          <w:sz w:val="22"/>
          <w:szCs w:val="22"/>
        </w:rPr>
      </w:pPr>
    </w:p>
    <w:p w14:paraId="2B06DDF6" w14:textId="77777777" w:rsidR="00EC21F5" w:rsidRPr="00384DDF" w:rsidRDefault="00000000" w:rsidP="00384DDF">
      <w:pPr>
        <w:spacing w:before="180" w:after="80"/>
        <w:rPr>
          <w:sz w:val="22"/>
          <w:szCs w:val="22"/>
        </w:rPr>
      </w:pPr>
      <w:r w:rsidRPr="00384DDF">
        <w:rPr>
          <w:b/>
          <w:bCs/>
          <w:sz w:val="32"/>
          <w:szCs w:val="32"/>
        </w:rPr>
        <w:t>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4260"/>
      </w:tblGrid>
      <w:tr w:rsidR="00EC21F5" w:rsidRPr="00384DDF" w14:paraId="4443C6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E947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Área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2A81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Norma o ley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222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44F2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b/>
                <w:bCs/>
                <w:color w:val="FFFFFF"/>
                <w:sz w:val="22"/>
                <w:szCs w:val="22"/>
              </w:rPr>
              <w:t>Lo que exige para MercaGo</w:t>
            </w:r>
          </w:p>
        </w:tc>
      </w:tr>
      <w:tr w:rsidR="00EC21F5" w:rsidRPr="00384DDF" w14:paraId="7A19DA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5E0D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Datos personales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18B4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Ley 1581/2012 – GDPR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6E29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Permiso del usuario, uso limitado del GPS, opción de borrar cuenta</w:t>
            </w:r>
          </w:p>
        </w:tc>
      </w:tr>
      <w:tr w:rsidR="00EC21F5" w:rsidRPr="00384DDF" w14:paraId="20FA30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EF9F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Documentación técnica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7D28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IEEE 29148 – ISO 25010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2B90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Requisitos claros, medibles y trazables</w:t>
            </w:r>
          </w:p>
        </w:tc>
      </w:tr>
      <w:tr w:rsidR="00EC21F5" w:rsidRPr="00384DDF" w14:paraId="5E8080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A55B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Seguridad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6F52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OWASP Top 10 – ISO 27001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7FC6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Cifrado, roles, bloqueo de ataques, auditoría</w:t>
            </w:r>
          </w:p>
        </w:tc>
      </w:tr>
      <w:tr w:rsidR="00EC21F5" w:rsidRPr="00384DDF" w14:paraId="1060D5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E4D2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Accesibilidad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2F760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WCAG 2.1 AA – W3C</w:t>
            </w:r>
          </w:p>
        </w:tc>
        <w:tc>
          <w:tcPr>
            <w:tcW w:w="4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E25D" w14:textId="77777777" w:rsidR="00EC21F5" w:rsidRPr="00384DDF" w:rsidRDefault="00000000" w:rsidP="00384DDF">
            <w:pPr>
              <w:rPr>
                <w:sz w:val="22"/>
                <w:szCs w:val="22"/>
              </w:rPr>
            </w:pPr>
            <w:r w:rsidRPr="00384DDF">
              <w:rPr>
                <w:sz w:val="22"/>
                <w:szCs w:val="22"/>
              </w:rPr>
              <w:t>Contraste, tamaño de letra, compatibilidad con lectores</w:t>
            </w:r>
          </w:p>
        </w:tc>
      </w:tr>
    </w:tbl>
    <w:p w14:paraId="6DD8600A" w14:textId="77777777" w:rsidR="00EC21F5" w:rsidRDefault="00EC21F5" w:rsidP="00384DDF">
      <w:pPr>
        <w:spacing w:after="100"/>
      </w:pPr>
    </w:p>
    <w:p w14:paraId="20E94B92" w14:textId="10D7C902" w:rsidR="00EC21F5" w:rsidRDefault="00EC21F5" w:rsidP="00384DDF">
      <w:pPr>
        <w:spacing w:before="60"/>
        <w:jc w:val="center"/>
      </w:pPr>
    </w:p>
    <w:sectPr w:rsidR="00EC21F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7633F"/>
    <w:multiLevelType w:val="hybridMultilevel"/>
    <w:tmpl w:val="66D46D3C"/>
    <w:lvl w:ilvl="0" w:tplc="F3EC4C5E">
      <w:start w:val="1"/>
      <w:numFmt w:val="bullet"/>
      <w:lvlText w:val="•"/>
      <w:lvlJc w:val="left"/>
      <w:pPr>
        <w:ind w:left="540" w:hanging="260"/>
      </w:pPr>
    </w:lvl>
    <w:lvl w:ilvl="1" w:tplc="4540035C">
      <w:numFmt w:val="decimal"/>
      <w:lvlText w:val=""/>
      <w:lvlJc w:val="left"/>
    </w:lvl>
    <w:lvl w:ilvl="2" w:tplc="3F585E88">
      <w:numFmt w:val="decimal"/>
      <w:lvlText w:val=""/>
      <w:lvlJc w:val="left"/>
    </w:lvl>
    <w:lvl w:ilvl="3" w:tplc="E80A88B8">
      <w:numFmt w:val="decimal"/>
      <w:lvlText w:val=""/>
      <w:lvlJc w:val="left"/>
    </w:lvl>
    <w:lvl w:ilvl="4" w:tplc="941ED32C">
      <w:numFmt w:val="decimal"/>
      <w:lvlText w:val=""/>
      <w:lvlJc w:val="left"/>
    </w:lvl>
    <w:lvl w:ilvl="5" w:tplc="EBF84F14">
      <w:numFmt w:val="decimal"/>
      <w:lvlText w:val=""/>
      <w:lvlJc w:val="left"/>
    </w:lvl>
    <w:lvl w:ilvl="6" w:tplc="0778DA12">
      <w:numFmt w:val="decimal"/>
      <w:lvlText w:val=""/>
      <w:lvlJc w:val="left"/>
    </w:lvl>
    <w:lvl w:ilvl="7" w:tplc="A202CC14">
      <w:numFmt w:val="decimal"/>
      <w:lvlText w:val=""/>
      <w:lvlJc w:val="left"/>
    </w:lvl>
    <w:lvl w:ilvl="8" w:tplc="C77A18A4">
      <w:numFmt w:val="decimal"/>
      <w:lvlText w:val=""/>
      <w:lvlJc w:val="left"/>
    </w:lvl>
  </w:abstractNum>
  <w:abstractNum w:abstractNumId="1" w15:restartNumberingAfterBreak="0">
    <w:nsid w:val="7F7E59D6"/>
    <w:multiLevelType w:val="hybridMultilevel"/>
    <w:tmpl w:val="DEA648D8"/>
    <w:lvl w:ilvl="0" w:tplc="D468339C">
      <w:start w:val="1"/>
      <w:numFmt w:val="bullet"/>
      <w:lvlText w:val="●"/>
      <w:lvlJc w:val="left"/>
      <w:pPr>
        <w:ind w:left="720" w:hanging="360"/>
      </w:pPr>
    </w:lvl>
    <w:lvl w:ilvl="1" w:tplc="4C642380">
      <w:start w:val="1"/>
      <w:numFmt w:val="bullet"/>
      <w:lvlText w:val="○"/>
      <w:lvlJc w:val="left"/>
      <w:pPr>
        <w:ind w:left="1440" w:hanging="360"/>
      </w:pPr>
    </w:lvl>
    <w:lvl w:ilvl="2" w:tplc="502879C2">
      <w:start w:val="1"/>
      <w:numFmt w:val="bullet"/>
      <w:lvlText w:val="■"/>
      <w:lvlJc w:val="left"/>
      <w:pPr>
        <w:ind w:left="2160" w:hanging="360"/>
      </w:pPr>
    </w:lvl>
    <w:lvl w:ilvl="3" w:tplc="A8C4DB52">
      <w:start w:val="1"/>
      <w:numFmt w:val="bullet"/>
      <w:lvlText w:val="●"/>
      <w:lvlJc w:val="left"/>
      <w:pPr>
        <w:ind w:left="2880" w:hanging="360"/>
      </w:pPr>
    </w:lvl>
    <w:lvl w:ilvl="4" w:tplc="605C28BC">
      <w:start w:val="1"/>
      <w:numFmt w:val="bullet"/>
      <w:lvlText w:val="○"/>
      <w:lvlJc w:val="left"/>
      <w:pPr>
        <w:ind w:left="3600" w:hanging="360"/>
      </w:pPr>
    </w:lvl>
    <w:lvl w:ilvl="5" w:tplc="139A3B50">
      <w:start w:val="1"/>
      <w:numFmt w:val="bullet"/>
      <w:lvlText w:val="■"/>
      <w:lvlJc w:val="left"/>
      <w:pPr>
        <w:ind w:left="4320" w:hanging="360"/>
      </w:pPr>
    </w:lvl>
    <w:lvl w:ilvl="6" w:tplc="E3F27186">
      <w:start w:val="1"/>
      <w:numFmt w:val="bullet"/>
      <w:lvlText w:val="●"/>
      <w:lvlJc w:val="left"/>
      <w:pPr>
        <w:ind w:left="5040" w:hanging="360"/>
      </w:pPr>
    </w:lvl>
    <w:lvl w:ilvl="7" w:tplc="A1EA27B8">
      <w:start w:val="1"/>
      <w:numFmt w:val="bullet"/>
      <w:lvlText w:val="●"/>
      <w:lvlJc w:val="left"/>
      <w:pPr>
        <w:ind w:left="5760" w:hanging="360"/>
      </w:pPr>
    </w:lvl>
    <w:lvl w:ilvl="8" w:tplc="4C5CC660">
      <w:start w:val="1"/>
      <w:numFmt w:val="bullet"/>
      <w:lvlText w:val="●"/>
      <w:lvlJc w:val="left"/>
      <w:pPr>
        <w:ind w:left="6480" w:hanging="360"/>
      </w:pPr>
    </w:lvl>
  </w:abstractNum>
  <w:num w:numId="1" w16cid:durableId="385033810">
    <w:abstractNumId w:val="1"/>
    <w:lvlOverride w:ilvl="0">
      <w:startOverride w:val="1"/>
    </w:lvlOverride>
  </w:num>
  <w:num w:numId="2" w16cid:durableId="486244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1F5"/>
    <w:rsid w:val="000230E4"/>
    <w:rsid w:val="00384DDF"/>
    <w:rsid w:val="00E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8D67"/>
  <w15:docId w15:val="{7C0BEC1C-7112-42FC-B252-87434ABB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613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Alejandro Esquivel Bahamon</cp:lastModifiedBy>
  <cp:revision>3</cp:revision>
  <dcterms:created xsi:type="dcterms:W3CDTF">2026-06-06T02:17:00Z</dcterms:created>
  <dcterms:modified xsi:type="dcterms:W3CDTF">2026-06-06T02:21:00Z</dcterms:modified>
</cp:coreProperties>
</file>