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Joseph A. DePaolo-Boisvert</w:t>
      </w:r>
    </w:p>
    <w:p>
      <w:pPr>
        <w:pStyle w:val="ContactLine"/>
      </w:pPr>
      <w:r>
        <w:t xml:space="preserve">Chicago, IL 60616  •  (860) 736-7977  •  jdepaoloboisvert@hawk.iit.edu  •  joseph184depaolo@gmail.com</w:t>
      </w:r>
    </w:p>
    <w:p>
      <w:pPr>
        <w:pStyle w:val="ContactLine"/>
      </w:pPr>
      <w:r>
        <w:t xml:space="preserve">josephdepaoloboisvert.github.io  •  linkedin.com/in/jdepaolo-boisvert  •  github.com/josephdepaoloboisvert  •  Google Scholar: BgcmzBcAAAAJ</w:t>
      </w:r>
    </w:p>
    <w:p>
      <w:pPr>
        <w:pStyle w:val="Heading1"/>
        <w:keepNext/>
        <w:keepLines/>
      </w:pPr>
      <w:r>
        <w:t xml:space="preserve">EDUCATION</w:t>
      </w:r>
    </w:p>
    <w:p>
      <w:pPr>
        <w:pStyle w:val="Heading2"/>
        <w:keepNext/>
        <w:keepLines/>
        <w:tabs>
          <w:tab w:val="right" w:pos="9026"/>
        </w:tabs>
      </w:pPr>
      <w:r>
        <w:rPr>
          <w:b/>
          <w:bCs/>
        </w:rPr>
        <w:t xml:space="preserve">Doctor of Philosophy, Chemistry</w:t>
      </w:r>
      <w:r>
        <w:t xml:space="preserve"> — Illinois Institute of Technology, Chicago, IL</w:t>
      </w:r>
      <w:r>
        <w:rPr>
          <w:b/>
          <w:bCs/>
        </w:rPr>
        <w:t xml:space="preserve">	Conferral August 2026</w:t>
      </w:r>
    </w:p>
    <w:p>
      <w:pPr>
        <w:pStyle w:val="ResumeMeta"/>
        <w:keepNext/>
      </w:pPr>
      <w:r>
        <w:rPr>
          <w:i/>
          <w:iCs/>
        </w:rPr>
        <w:t xml:space="preserve">Successfully defended April 2026. Advisor: Dr. David D. L. Minh. Master’s-level requirements of the Ph.D. completed May 2022.</w:t>
      </w:r>
    </w:p>
    <w:p>
      <w:pPr>
        <w:pStyle w:val="ResumeMeta"/>
        <w:keepNext/>
      </w:pPr>
      <w:r>
        <w:rPr>
          <w:i/>
          <w:iCs/>
        </w:rPr>
        <w:t xml:space="preserve">Dissertation: “Membrane Protein Molecular Dynamics: Application, Representation, Enhanced Sampling.”</w:t>
      </w:r>
    </w:p>
    <w:p>
      <w:pPr>
        <w:pStyle w:val="Heading2"/>
        <w:keepNext/>
        <w:keepLines/>
        <w:tabs>
          <w:tab w:val="right" w:pos="9026"/>
        </w:tabs>
      </w:pPr>
      <w:r>
        <w:rPr>
          <w:b/>
          <w:bCs/>
        </w:rPr>
        <w:t xml:space="preserve">Bachelor of Arts, Chemistry; Bachelor of Arts, Physics</w:t>
      </w:r>
      <w:r>
        <w:t xml:space="preserve"> — Boston University, Boston, MA</w:t>
      </w:r>
      <w:r>
        <w:rPr>
          <w:b/>
          <w:bCs/>
        </w:rPr>
        <w:t xml:space="preserve">	May 2020</w:t>
      </w:r>
    </w:p>
    <w:p>
      <w:pPr>
        <w:pStyle w:val="ResumeMeta"/>
        <w:keepNext/>
      </w:pPr>
      <w:r>
        <w:rPr>
          <w:i/>
          <w:iCs/>
        </w:rPr>
        <w:t xml:space="preserve">Coursework additionally completed at Worcester Polytechnic Institute and Trinity College. Two-year course series in Russian Language and Literature.</w:t>
      </w:r>
    </w:p>
    <w:p>
      <w:pPr>
        <w:pStyle w:val="Heading1"/>
        <w:keepNext/>
        <w:keepLines/>
      </w:pPr>
      <w:r>
        <w:t xml:space="preserve">APPOINTMENTS</w:t>
      </w:r>
    </w:p>
    <w:p>
      <w:pPr>
        <w:pStyle w:val="Heading2"/>
        <w:keepNext/>
        <w:keepLines/>
        <w:tabs>
          <w:tab w:val="right" w:pos="9026"/>
        </w:tabs>
      </w:pPr>
      <w:r>
        <w:rPr>
          <w:b/>
          <w:bCs/>
        </w:rPr>
        <w:t xml:space="preserve">Co-Founder &amp; Chief Technology Officer</w:t>
      </w:r>
      <w:r>
        <w:t xml:space="preserve"> — Biagon Inc., Chicago, IL</w:t>
      </w:r>
      <w:r>
        <w:rPr>
          <w:b/>
          <w:bCs/>
        </w:rPr>
        <w:t xml:space="preserve">	Feb 2024 – Present</w:t>
      </w:r>
    </w:p>
    <w:p>
      <w:pPr>
        <w:pStyle w:val="Heading2"/>
        <w:keepNext/>
        <w:keepLines/>
        <w:tabs>
          <w:tab w:val="right" w:pos="9026"/>
        </w:tabs>
      </w:pPr>
      <w:r>
        <w:rPr>
          <w:b/>
          <w:bCs/>
        </w:rPr>
        <w:t xml:space="preserve">Doctoral Researcher</w:t>
      </w:r>
      <w:r>
        <w:t xml:space="preserve"> — Illinois Institute of Technology, Department of Chemistry</w:t>
      </w:r>
      <w:r>
        <w:rPr>
          <w:b/>
          <w:bCs/>
        </w:rPr>
        <w:t xml:space="preserve">	Aug 2020 – Aug 2026</w:t>
      </w:r>
    </w:p>
    <w:p>
      <w:pPr>
        <w:pStyle w:val="ResumeMeta"/>
        <w:keepNext/>
      </w:pPr>
      <w:r>
        <w:rPr>
          <w:i/>
          <w:iCs/>
        </w:rPr>
        <w:t xml:space="preserve">Minh Laboratory (Chemistry) and Juárez Laboratory (Biological Sciences).</w:t>
      </w:r>
    </w:p>
    <w:p>
      <w:pPr>
        <w:pStyle w:val="Heading2"/>
        <w:keepNext/>
        <w:keepLines/>
        <w:tabs>
          <w:tab w:val="right" w:pos="9026"/>
        </w:tabs>
      </w:pPr>
      <w:r>
        <w:rPr>
          <w:b/>
          <w:bCs/>
        </w:rPr>
        <w:t xml:space="preserve">Instructor of Record</w:t>
      </w:r>
      <w:r>
        <w:t xml:space="preserve"> — CHEM 467 Medicinal Chemistry, Illinois Institute of Technology</w:t>
      </w:r>
      <w:r>
        <w:rPr>
          <w:b/>
          <w:bCs/>
        </w:rPr>
        <w:t xml:space="preserve">	Fall 2025</w:t>
      </w:r>
    </w:p>
    <w:p>
      <w:pPr>
        <w:pStyle w:val="Heading2"/>
        <w:keepNext/>
        <w:keepLines/>
        <w:tabs>
          <w:tab w:val="right" w:pos="9026"/>
        </w:tabs>
      </w:pPr>
      <w:r>
        <w:rPr>
          <w:b/>
          <w:bCs/>
        </w:rPr>
        <w:t xml:space="preserve">Teaching Assistant</w:t>
      </w:r>
      <w:r>
        <w:t xml:space="preserve"> — Illinois Institute of Technology, Department of Chemistry</w:t>
      </w:r>
      <w:r>
        <w:rPr>
          <w:b/>
          <w:bCs/>
        </w:rPr>
        <w:t xml:space="preserve">	Aug 2020 – Aug 2026</w:t>
      </w:r>
    </w:p>
    <w:p>
      <w:pPr>
        <w:pStyle w:val="Heading2"/>
        <w:keepNext/>
        <w:keepLines/>
        <w:tabs>
          <w:tab w:val="right" w:pos="9026"/>
        </w:tabs>
      </w:pPr>
      <w:r>
        <w:rPr>
          <w:b/>
          <w:bCs/>
        </w:rPr>
        <w:t xml:space="preserve">First Mate</w:t>
      </w:r>
      <w:r>
        <w:t xml:space="preserve"> — City Experiences by Hornblower, Chicago, IL</w:t>
      </w:r>
      <w:r>
        <w:rPr>
          <w:b/>
          <w:bCs/>
        </w:rPr>
        <w:t xml:space="preserve">	May 2024 – Present</w:t>
      </w:r>
    </w:p>
    <w:p>
      <w:pPr>
        <w:pStyle w:val="ResumeMeta"/>
        <w:keepNext/>
      </w:pPr>
      <w:r>
        <w:rPr>
          <w:i/>
          <w:iCs/>
        </w:rPr>
        <w:t xml:space="preserve">Senior Deckhand by United States Coast Guard designation. Spirit of Navy Pier.</w:t>
      </w:r>
    </w:p>
    <w:p>
      <w:pPr>
        <w:pStyle w:val="Heading1"/>
        <w:keepNext/>
        <w:keepLines/>
      </w:pPr>
      <w:r>
        <w:t xml:space="preserve">PEER-REVIEWED PUBLICATIONS</w:t>
      </w:r>
    </w:p>
    <w:p>
      <w:pPr>
        <w:pStyle w:val="ResumeBody"/>
        <w:numPr>
          <w:ilvl w:val="0"/>
          <w:numId w:val="2"/>
        </w:numPr>
      </w:pPr>
      <w:r>
        <w:rPr>
          <w:b/>
          <w:bCs/>
        </w:rPr>
        <w:t xml:space="preserve">DePaolo-Boisvert, J. A.</w:t>
      </w:r>
      <w:r>
        <w:t xml:space="preserve">; Tuz, K.; Minh, D. D. L.; Juárez, O. X. “Molecular Dynamics Analysis of Inhibitor Binding Interactions in the </w:t>
      </w:r>
      <w:r>
        <w:rPr>
          <w:i/>
          <w:iCs/>
        </w:rPr>
        <w:t xml:space="preserve">Vibrio cholerae</w:t>
      </w:r>
      <w:r>
        <w:t xml:space="preserve"> Respiratory Complex NQR.” </w:t>
      </w:r>
      <w:r>
        <w:rPr>
          <w:i/>
          <w:iCs/>
        </w:rPr>
        <w:t xml:space="preserve">Proteins: Structure, Function, and Bioinformatics</w:t>
      </w:r>
      <w:r>
        <w:t xml:space="preserve"> </w:t>
      </w:r>
      <w:r>
        <w:rPr>
          <w:b/>
          <w:bCs/>
        </w:rPr>
        <w:t xml:space="preserve">2025</w:t>
      </w:r>
      <w:r>
        <w:t xml:space="preserve">, 94 (2), 649–659. doi:10.1002/prot.70036</w:t>
      </w:r>
    </w:p>
    <w:p>
      <w:pPr>
        <w:pStyle w:val="ResumeBody"/>
        <w:numPr>
          <w:ilvl w:val="0"/>
          <w:numId w:val="2"/>
        </w:numPr>
      </w:pPr>
      <w:r>
        <w:t xml:space="preserve">Cooper, D. A.; </w:t>
      </w:r>
      <w:r>
        <w:rPr>
          <w:b/>
          <w:bCs/>
        </w:rPr>
        <w:t xml:space="preserve">DePaolo-Boisvert, J.</w:t>
      </w:r>
      <w:r>
        <w:t xml:space="preserve">; Nicholson, S. A.; Gad, B.; Minh, D. D. L. “Intracellular Pocket Conformations Determine Signaling Efficacy through the μ Opioid Receptor.”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2025</w:t>
      </w:r>
      <w:r>
        <w:t xml:space="preserve">, 65 (3), 1465–1475. doi:10.1021/acs.jcim.4c01437</w:t>
      </w:r>
    </w:p>
    <w:p>
      <w:pPr>
        <w:pStyle w:val="ResumeBody"/>
        <w:numPr>
          <w:ilvl w:val="0"/>
          <w:numId w:val="2"/>
        </w:numPr>
      </w:pPr>
      <w:r>
        <w:t xml:space="preserve">Sorescu, J. M.; González-Montalvo, M. A.; Yuan, M.; </w:t>
      </w:r>
      <w:r>
        <w:rPr>
          <w:b/>
          <w:bCs/>
        </w:rPr>
        <w:t xml:space="preserve">DePaolo-Boisvert, J.</w:t>
      </w:r>
      <w:r>
        <w:t xml:space="preserve">; Ceapă, C. D.; Garcia-Contreras, R.; Flores-Herrera, O.; Shea, M. E.; Tuz, K.; Juárez, O. X. “Breakthroughs in the Development of Antibiotics, Antifungals and Antiparasitics Targeting the Pathogens’ Respiratory Chain.” </w:t>
      </w:r>
      <w:r>
        <w:rPr>
          <w:i/>
          <w:iCs/>
        </w:rPr>
        <w:t xml:space="preserve">Critical Reviews in Biochemistry and Molecular Biology</w:t>
      </w:r>
      <w:r>
        <w:t xml:space="preserve"> </w:t>
      </w:r>
      <w:r>
        <w:rPr>
          <w:b/>
          <w:bCs/>
        </w:rPr>
        <w:t xml:space="preserve">2025</w:t>
      </w:r>
      <w:r>
        <w:t xml:space="preserve">, 60 (4–6), 141–174. doi:10.1080/10409238.2025.2545785</w:t>
      </w:r>
    </w:p>
    <w:p>
      <w:pPr>
        <w:pStyle w:val="ResumeBody"/>
        <w:numPr>
          <w:ilvl w:val="0"/>
          <w:numId w:val="2"/>
        </w:numPr>
      </w:pPr>
      <w:r>
        <w:t xml:space="preserve">González-Montalvo, M. A.; Sorescu, J. M.; Yuan, M.; </w:t>
      </w:r>
      <w:r>
        <w:rPr>
          <w:b/>
          <w:bCs/>
        </w:rPr>
        <w:t xml:space="preserve">DePaolo-Boisvert, J.</w:t>
      </w:r>
      <w:r>
        <w:t xml:space="preserve">; Liang, P.; Juárez, O. X.; Tuz, K. “NQR as a Target for New Antibiotics.” </w:t>
      </w:r>
      <w:r>
        <w:rPr>
          <w:i/>
          <w:iCs/>
        </w:rPr>
        <w:t xml:space="preserve">Frontiers in Microbiology</w:t>
      </w:r>
      <w:r>
        <w:t xml:space="preserve"> </w:t>
      </w:r>
      <w:r>
        <w:rPr>
          <w:b/>
          <w:bCs/>
        </w:rPr>
        <w:t xml:space="preserve">2025</w:t>
      </w:r>
      <w:r>
        <w:t xml:space="preserve">, 16, 1690572. doi:10.3389/fmicb.2025.1690572</w:t>
      </w:r>
    </w:p>
    <w:p>
      <w:pPr>
        <w:pStyle w:val="ResumeBody"/>
        <w:numPr>
          <w:ilvl w:val="0"/>
          <w:numId w:val="2"/>
        </w:numPr>
      </w:pPr>
      <w:r>
        <w:t xml:space="preserve">Tuz, K.; Yuan, M.; Hu, Y.; Do, T. T. T.; Willow, S. Y.; </w:t>
      </w:r>
      <w:r>
        <w:rPr>
          <w:b/>
          <w:bCs/>
        </w:rPr>
        <w:t xml:space="preserve">DePaolo-Boisvert, J. A.</w:t>
      </w:r>
      <w:r>
        <w:t xml:space="preserve">; Fuller, J. R.; Minh, D. D. L.; Juárez, O. “Identification of the Riboflavin Cofactor-Binding Site in the </w:t>
      </w:r>
      <w:r>
        <w:rPr>
          <w:i/>
          <w:iCs/>
        </w:rPr>
        <w:t xml:space="preserve">Vibrio cholerae</w:t>
      </w:r>
      <w:r>
        <w:t xml:space="preserve"> Ion-Pumping NQR Complex: A Novel Structural Motif in Redox Enzymes.” </w:t>
      </w:r>
      <w:r>
        <w:rPr>
          <w:i/>
          <w:iCs/>
        </w:rPr>
        <w:t xml:space="preserve">Journal of Biological Chemistry</w:t>
      </w:r>
      <w:r>
        <w:t xml:space="preserve"> </w:t>
      </w:r>
      <w:r>
        <w:rPr>
          <w:b/>
          <w:bCs/>
        </w:rPr>
        <w:t xml:space="preserve">2022</w:t>
      </w:r>
      <w:r>
        <w:t xml:space="preserve">, 298 (8), 102182. doi:10.1016/j.jbc.2022.102182</w:t>
      </w:r>
    </w:p>
    <w:p>
      <w:pPr>
        <w:pStyle w:val="Heading1"/>
        <w:keepNext/>
        <w:keepLines/>
      </w:pPr>
      <w:r>
        <w:t xml:space="preserve">MANUSCRIPTS IN PREPARATION</w:t>
      </w:r>
    </w:p>
    <w:p>
      <w:pPr>
        <w:pStyle w:val="ResumeBody"/>
        <w:numPr>
          <w:ilvl w:val="0"/>
          <w:numId w:val="2"/>
        </w:numPr>
      </w:pPr>
      <w:r>
        <w:rPr>
          <w:b/>
          <w:bCs/>
        </w:rPr>
        <w:t xml:space="preserve">DePaolo-Boisvert, J. A.</w:t>
      </w:r>
      <w:r>
        <w:t xml:space="preserve">; Willow, S. Y.; Srinarmwong, T.; Bahl, A.; Minh, D. D. L. “Deep Neural Network Auto-Encoding Models Reveal Inherent Dimensionality of Protein Structural Ensembles.”</w:t>
      </w:r>
    </w:p>
    <w:p>
      <w:pPr>
        <w:pStyle w:val="Heading1"/>
        <w:keepNext/>
        <w:keepLines/>
      </w:pPr>
      <w:r>
        <w:t xml:space="preserve">SOFTWARE</w:t>
      </w:r>
    </w:p>
    <w:p>
      <w:pPr>
        <w:pStyle w:val="ResumeBody"/>
      </w:pPr>
      <w:r>
        <w:rPr>
          <w:b/>
          <w:bCs/>
        </w:rPr>
        <w:t xml:space="preserve">ChiMPSS — Chicago Membrane Protein Simulation Suite. </w:t>
      </w:r>
      <w:r>
        <w:t xml:space="preserve">Open-source infrastructure for reproducible enhanced-sampling molecular dynamics of membrane protein systems; three coordinated repositories at github.com/CCBatIIT.</w:t>
      </w:r>
    </w:p>
    <w:p>
      <w:pPr>
        <w:pStyle w:val="ResumeBullet"/>
        <w:numPr>
          <w:ilvl w:val="0"/>
          <w:numId w:val="3"/>
        </w:numPr>
      </w:pPr>
      <w:r>
        <w:rPr>
          <w:b/>
          <w:bCs/>
        </w:rPr>
        <w:t xml:space="preserve">MotorRow</w:t>
      </w:r>
      <w:r>
        <w:t xml:space="preserve"> — multi-stage equilibration burn-in. DePaolo-Boisvert, J. A.; Cooper, D. A.; Xie, B.; Nguyen, T.-V.-A. (2025). </w:t>
      </w:r>
      <w:r>
        <w:rPr>
          <w:i/>
          <w:iCs/>
        </w:rPr>
        <w:t xml:space="preserve">First author.</w:t>
      </w:r>
    </w:p>
    <w:p>
      <w:pPr>
        <w:pStyle w:val="ResumeBullet"/>
        <w:numPr>
          <w:ilvl w:val="0"/>
          <w:numId w:val="3"/>
        </w:numPr>
      </w:pPr>
      <w:r>
        <w:rPr>
          <w:b/>
          <w:bCs/>
        </w:rPr>
        <w:t xml:space="preserve">Bridgeport</w:t>
      </w:r>
      <w:r>
        <w:t xml:space="preserve"> — automated system preparation: structure repair, protonation, membrane embedding, ligand parameterization. Cooper, D. A.; DePaolo-Boisvert, J. A.; Nguyen, T.-V.-A. (2025).</w:t>
      </w:r>
    </w:p>
    <w:p>
      <w:pPr>
        <w:pStyle w:val="ResumeBullet"/>
        <w:numPr>
          <w:ilvl w:val="0"/>
          <w:numId w:val="3"/>
        </w:numPr>
      </w:pPr>
      <w:r>
        <w:rPr>
          <w:b/>
          <w:bCs/>
        </w:rPr>
        <w:t xml:space="preserve">FultonMarket</w:t>
      </w:r>
      <w:r>
        <w:t xml:space="preserve"> — adaptive parallel-tempering replica exchange with dynamic state insertion. Cooper, D. A.; DePaolo-Boisvert, J. A.; Nguyen, T.-V.-A.; Khan, A. (2025).</w:t>
      </w:r>
    </w:p>
    <w:p>
      <w:pPr>
        <w:pStyle w:val="Heading1"/>
        <w:keepNext/>
        <w:keepLines/>
      </w:pPr>
      <w:r>
        <w:t xml:space="preserve">RESEARCH EXPERIENCE</w:t>
      </w:r>
    </w:p>
    <w:p>
      <w:pPr>
        <w:pStyle w:val="Heading3"/>
        <w:keepNext/>
        <w:keepLines/>
      </w:pPr>
      <w:r>
        <w:t xml:space="preserve">Virtual Screening and Structure-Based Antibacterial Discovery — Na⁺-Pumping NADH:Quinone Oxidoreductase</w:t>
      </w:r>
    </w:p>
    <w:p>
      <w:pPr>
        <w:pStyle w:val="ResumeBullet"/>
        <w:numPr>
          <w:ilvl w:val="0"/>
          <w:numId w:val="3"/>
        </w:numPr>
      </w:pPr>
      <w:r>
        <w:t xml:space="preserve">Designed and executed a 4.2-million-compound virtual screen of the Enamine library against the NQR ubiquinone binding site on the Bridges2 supercomputer, partitioning the library into 50,000-compound batches distributed across full CPU nodes with one AutoDock Vina docking job per core.</w:t>
      </w:r>
    </w:p>
    <w:p>
      <w:pPr>
        <w:pStyle w:val="ResumeBullet"/>
        <w:numPr>
          <w:ilvl w:val="0"/>
          <w:numId w:val="3"/>
        </w:numPr>
      </w:pPr>
      <w:r>
        <w:t xml:space="preserve">Advanced top-scoring hits through successive enumeration cycles, promoting leading compounds to scaffolds for focused libraries with systematic substitutions; surfaced pharmacophore hypotheses taken up by an inter-institutional medicinal chemistry collaboration (Becker, Loyola University; Juárez and Tuz, Illinois Tech).</w:t>
      </w:r>
    </w:p>
    <w:p>
      <w:pPr>
        <w:pStyle w:val="ResumeBullet"/>
        <w:numPr>
          <w:ilvl w:val="0"/>
          <w:numId w:val="3"/>
        </w:numPr>
      </w:pPr>
      <w:r>
        <w:t xml:space="preserve">Produced the first molecular dynamics simulations of </w:t>
      </w:r>
      <w:r>
        <w:rPr>
          <w:i/>
          <w:iCs/>
        </w:rPr>
        <w:t xml:space="preserve">Vibrio cholerae</w:t>
      </w:r>
      <w:r>
        <w:t xml:space="preserve"> NQR in complex with the substrate analogue ubiquinone-4 and three potent inhibitors (HQNO, aurachin-D42, korormicin-A): 13 production simulations of approximately 350–400k atoms each, run in triplicate for at least 500 ns in a heterogeneous POPE/POPG/cardiolipin membrane.</w:t>
      </w:r>
    </w:p>
    <w:p>
      <w:pPr>
        <w:pStyle w:val="ResumeBullet"/>
        <w:numPr>
          <w:ilvl w:val="0"/>
          <w:numId w:val="3"/>
        </w:numPr>
      </w:pPr>
      <w:r>
        <w:t xml:space="preserve">Identified conserved hydrogen-bonding and hydrophobic binding motifs in subunit B through protein–ligand interaction fingerprinting, distance analysis, and binding pose clustering; interpreted results against published mutagenesis to establish the structure–activity basis for rational inhibitor design.</w:t>
      </w:r>
    </w:p>
    <w:p>
      <w:pPr>
        <w:pStyle w:val="ResumeBullet"/>
        <w:numPr>
          <w:ilvl w:val="0"/>
          <w:numId w:val="3"/>
        </w:numPr>
      </w:pPr>
      <w:r>
        <w:t xml:space="preserve">Contributed docking and molecular dynamics analysis to an FDA-approved drug repurposing effort against NQR with the medicinal chemistry group of Dr. Daniel Becker, Loyola University.</w:t>
      </w:r>
    </w:p>
    <w:p>
      <w:pPr>
        <w:pStyle w:val="Heading3"/>
        <w:keepNext/>
        <w:keepLines/>
      </w:pPr>
      <w:r>
        <w:t xml:space="preserve">Reproducible Enhanced Sampling of Class-A G Protein-Coupled Receptors</w:t>
      </w:r>
    </w:p>
    <w:p>
      <w:pPr>
        <w:pStyle w:val="ResumeBullet"/>
        <w:numPr>
          <w:ilvl w:val="0"/>
          <w:numId w:val="3"/>
        </w:numPr>
      </w:pPr>
      <w:r>
        <w:t xml:space="preserve">Co-developed ChiMPSS and implemented parallel-tempering replica exchange with dynamic temperature-state insertion driven by inter-state mixing probability, MBAR equilibration detection, and importance resampling (pyMBAR).</w:t>
      </w:r>
    </w:p>
    <w:p>
      <w:pPr>
        <w:pStyle w:val="ResumeBullet"/>
        <w:numPr>
          <w:ilvl w:val="0"/>
          <w:numId w:val="3"/>
        </w:numPr>
      </w:pPr>
      <w:r>
        <w:t xml:space="preserve">Validated the pipeline across four class-A GPCRs — cannabinoid receptor 2, serotonin receptors 2A and 2B, and the kappa opioid receptor — with triplicate microsecond-scale ensembles converging on consistent transmembrane helix conformational distributions from both common and structurally distinct starting configurations.</w:t>
      </w:r>
    </w:p>
    <w:p>
      <w:pPr>
        <w:pStyle w:val="ResumeBullet"/>
        <w:numPr>
          <w:ilvl w:val="0"/>
          <w:numId w:val="3"/>
        </w:numPr>
      </w:pPr>
      <w:r>
        <w:t xml:space="preserve">Constructed a pan-GPCR reference frame by principal component analysis of 555 experimentally determined structures from GPCRdb; identified transducer-stabilization bias in crystallographic reference sets as a systematic confound for pharmacological inference from ensemble position.</w:t>
      </w:r>
    </w:p>
    <w:p>
      <w:pPr>
        <w:pStyle w:val="Heading3"/>
        <w:keepNext/>
        <w:keepLines/>
      </w:pPr>
      <w:r>
        <w:t xml:space="preserve">Machine Learning Representations of Molecular Conformational Ensembles</w:t>
      </w:r>
    </w:p>
    <w:p>
      <w:pPr>
        <w:pStyle w:val="ResumeBullet"/>
        <w:numPr>
          <w:ilvl w:val="0"/>
          <w:numId w:val="3"/>
        </w:numPr>
      </w:pPr>
      <w:r>
        <w:t xml:space="preserve">Developed stochastic autoencoder architectures in JAX and Flax for nonlinear dimensionality reduction of molecular dynamics trajectories; benchmarked systematically across five systems of increasing complexity — oxycodone, deca-alanine, crambin, a bromodomain with JQ1, and HIV-1 protease with a peptide ligand — against principal component analysis and deterministic autoencoding.</w:t>
      </w:r>
    </w:p>
    <w:p>
      <w:pPr>
        <w:pStyle w:val="ResumeBullet"/>
        <w:numPr>
          <w:ilvl w:val="0"/>
          <w:numId w:val="3"/>
        </w:numPr>
      </w:pPr>
      <w:r>
        <w:t xml:space="preserve">Demonstrated that stochastic models resolve more distinct conformational clusters at low latent dimensionality and generalize better than deterministic autoencoding at the highest compression ratios; characterized intrinsic compression thresholds using nearest-neighbor intrinsic dimensionality estimation, HDBSCAN, and UMAP.</w:t>
      </w:r>
    </w:p>
    <w:p>
      <w:pPr>
        <w:pStyle w:val="ResumeBullet"/>
        <w:numPr>
          <w:ilvl w:val="0"/>
          <w:numId w:val="3"/>
        </w:numPr>
      </w:pPr>
      <w:r>
        <w:t xml:space="preserve">Contributed simulation and analysis to machine learning models relating μ opioid receptor intracellular pocket conformations to G protein and β-arrestin-2 signaling efficacy, computing efficacy along multiple pathways rather than binary activity classification.</w:t>
      </w:r>
    </w:p>
    <w:p>
      <w:pPr>
        <w:pStyle w:val="Heading3"/>
        <w:keepNext/>
        <w:keepLines/>
      </w:pPr>
      <w:r>
        <w:t xml:space="preserve">Polarization Corrections to Binding Free Energy</w:t>
      </w:r>
    </w:p>
    <w:p>
      <w:pPr>
        <w:pStyle w:val="ResumeBullet"/>
        <w:numPr>
          <w:ilvl w:val="0"/>
          <w:numId w:val="3"/>
        </w:numPr>
      </w:pPr>
      <w:r>
        <w:t xml:space="preserve">Quantified protein-induced polarization of ligands within binding pockets and incorporated the resulting polarization energy as a corrective term in binding free energy calculations. Advisors: Dr. David D. L. Minh and Dr. Soohaeng Yoo Willow.</w:t>
      </w:r>
    </w:p>
    <w:p>
      <w:pPr>
        <w:pStyle w:val="Heading1"/>
        <w:keepNext/>
        <w:keepLines/>
      </w:pPr>
      <w:r>
        <w:t xml:space="preserve">RESEARCH SUPPORT AND COMPUTING ALLOCATIONS</w:t>
      </w:r>
    </w:p>
    <w:p>
      <w:pPr>
        <w:pStyle w:val="ResumeBullet"/>
        <w:numPr>
          <w:ilvl w:val="0"/>
          <w:numId w:val="3"/>
        </w:numPr>
      </w:pPr>
      <w:r>
        <w:rPr>
          <w:b/>
          <w:bCs/>
        </w:rPr>
        <w:t xml:space="preserve">Graduate Principal Investigator</w:t>
      </w:r>
      <w:r>
        <w:t xml:space="preserve"> — ACCESS allocation CIS250014. Principal manager of an inherited XSEDE-era allocation (MCB150144).</w:t>
      </w:r>
    </w:p>
    <w:p>
      <w:pPr>
        <w:pStyle w:val="ResumeBullet"/>
        <w:numPr>
          <w:ilvl w:val="0"/>
          <w:numId w:val="3"/>
        </w:numPr>
      </w:pPr>
      <w:r>
        <w:t xml:space="preserve">Authored allocation applications on behalf of Dr. Oscar Juárez and renewal reports on behalf of Dr. David Minh across nine ACCESS allocations supporting the dissertation work: MCB150144, BIO230006, BIO240146, BIO240217, CIS250014, BIO250102, BIO250114, BIO250326, BIO260063. Applications subsequently adopted as templates by other students securing independent awards.</w:t>
      </w:r>
    </w:p>
    <w:p>
      <w:pPr>
        <w:pStyle w:val="ResumeBullet"/>
        <w:numPr>
          <w:ilvl w:val="0"/>
          <w:numId w:val="3"/>
        </w:numPr>
      </w:pPr>
      <w:r>
        <w:t xml:space="preserve">Tens of thousands of GPU-hours consumed across Bridges2 (Pittsburgh Supercomputing Center), Expanse (San Diego Supercomputing Center), and Jetstream2 (Indiana University).</w:t>
      </w:r>
    </w:p>
    <w:p>
      <w:pPr>
        <w:pStyle w:val="ResumeBullet"/>
        <w:numPr>
          <w:ilvl w:val="0"/>
          <w:numId w:val="3"/>
        </w:numPr>
      </w:pPr>
      <w:r>
        <w:t xml:space="preserve">Dissertation research supported by NIH R01AI151152 (Juárez and Tuz), NIH R01GM127712 (Minh), NSF Award #2331458, and Walder Foundation Grant 23-01215.</w:t>
      </w:r>
    </w:p>
    <w:p>
      <w:pPr>
        <w:pStyle w:val="Heading1"/>
        <w:keepNext/>
        <w:keepLines/>
      </w:pPr>
      <w:r>
        <w:t xml:space="preserve">TEACHING AND MENTORSHIP</w:t>
      </w:r>
    </w:p>
    <w:p>
      <w:pPr>
        <w:pStyle w:val="Heading2"/>
        <w:keepNext/>
        <w:keepLines/>
        <w:tabs>
          <w:tab w:val="right" w:pos="9026"/>
        </w:tabs>
      </w:pPr>
      <w:r>
        <w:rPr>
          <w:b/>
          <w:bCs/>
        </w:rPr>
        <w:t xml:space="preserve">Instructor of Record — CHEM 467, Medicinal Chemistry</w:t>
      </w:r>
      <w:r>
        <w:t xml:space="preserve"> — Illinois Institute of Technology</w:t>
      </w:r>
      <w:r>
        <w:rPr>
          <w:b/>
          <w:bCs/>
        </w:rPr>
        <w:t xml:space="preserve">	Fall 2025</w:t>
      </w:r>
    </w:p>
    <w:p>
      <w:pPr>
        <w:pStyle w:val="ResumeBullet"/>
        <w:numPr>
          <w:ilvl w:val="0"/>
          <w:numId w:val="3"/>
        </w:numPr>
      </w:pPr>
      <w:r>
        <w:t xml:space="preserve">Sole instructor for an upper-division medicinal chemistry lecture course; held full responsibility for curriculum, instruction, assessment, and grading across a twenty-eight-session semester.</w:t>
      </w:r>
    </w:p>
    <w:p>
      <w:pPr>
        <w:pStyle w:val="ResumeBullet"/>
        <w:numPr>
          <w:ilvl w:val="0"/>
          <w:numId w:val="3"/>
        </w:numPr>
      </w:pPr>
      <w:r>
        <w:t xml:space="preserve">Designed the syllabus in three modules: (i) introduction to biochemistry and biological macromolecules as drug targets — protein structure, ligand–protein complementarity, enzymes and receptors as targets, binding kinetics, oligonucleotides as targets; (ii) properties and reactions of drugs in the human body — pharmacokinetics and metabolism; (iii) drug discovery, optimization, and regulation — molecular structure and diversity, lead discovery, and lead optimization. Texts: Stevens, </w:t>
      </w:r>
      <w:r>
        <w:rPr>
          <w:i/>
          <w:iCs/>
        </w:rPr>
        <w:t xml:space="preserve">Medicinal Chemistry: The Modern Drug Discovery Process</w:t>
      </w:r>
      <w:r>
        <w:t xml:space="preserve">; Nelson and Cox, </w:t>
      </w:r>
      <w:r>
        <w:rPr>
          <w:i/>
          <w:iCs/>
        </w:rPr>
        <w:t xml:space="preserve">Lehninger Principles of Biochemistry</w:t>
      </w:r>
      <w:r>
        <w:t xml:space="preserve">.</w:t>
      </w:r>
    </w:p>
    <w:p>
      <w:pPr>
        <w:pStyle w:val="ResumeBullet"/>
        <w:numPr>
          <w:ilvl w:val="0"/>
          <w:numId w:val="3"/>
        </w:numPr>
      </w:pPr>
      <w:r>
        <w:t xml:space="preserve">Curated a fourteen-paper primary literature reading list paired to lecture topics, ranging from the acetylation of prostaglandin synthase by aspirin to AutoDock Vina 1.2.0 and R-group replacement databases for medicinal chemistry.</w:t>
      </w:r>
    </w:p>
    <w:p>
      <w:pPr>
        <w:pStyle w:val="ResumeBullet"/>
        <w:numPr>
          <w:ilvl w:val="0"/>
          <w:numId w:val="3"/>
        </w:numPr>
      </w:pPr>
      <w:r>
        <w:t xml:space="preserve">Set and graded all assessment: two non-cumulative midterm examinations, weekly problem sets, two student journal-club presentations per student, and a capstone report and presentation analyzing the discovery, mechanism of action, target interactions, pharmacokinetics, and clearance of a student-selected FDA-approved drug.</w:t>
      </w:r>
    </w:p>
    <w:p>
      <w:pPr>
        <w:pStyle w:val="ResumeBullet"/>
        <w:numPr>
          <w:ilvl w:val="0"/>
          <w:numId w:val="3"/>
        </w:numPr>
      </w:pPr>
      <w:r>
        <w:t xml:space="preserve">Recruited and hosted external guest lecturers from academic and industry practice, including Dr. Oscar Juárez (Illinois Tech, Biological Sciences) and the Chief Executive Officer of Biagon Inc.</w:t>
      </w:r>
    </w:p>
    <w:p>
      <w:pPr>
        <w:pStyle w:val="Heading2"/>
        <w:keepNext/>
        <w:keepLines/>
        <w:tabs>
          <w:tab w:val="right" w:pos="9026"/>
        </w:tabs>
      </w:pPr>
      <w:r>
        <w:rPr>
          <w:b/>
          <w:bCs/>
        </w:rPr>
        <w:t xml:space="preserve">Teaching Assistant</w:t>
      </w:r>
      <w:r>
        <w:t xml:space="preserve"> — Illinois Institute of Technology</w:t>
      </w:r>
      <w:r>
        <w:rPr>
          <w:b/>
          <w:bCs/>
        </w:rPr>
        <w:t xml:space="preserve">	Aug 2020 – Aug 2026</w:t>
      </w:r>
    </w:p>
    <w:p>
      <w:pPr>
        <w:pStyle w:val="ResumeBullet"/>
        <w:numPr>
          <w:ilvl w:val="0"/>
          <w:numId w:val="3"/>
        </w:numPr>
      </w:pPr>
      <w:r>
        <w:t xml:space="preserve">Six semesters of instruction, Undergraduate Physical Chemistry Laboratory (Dr. Benjamin Zion).</w:t>
      </w:r>
    </w:p>
    <w:p>
      <w:pPr>
        <w:pStyle w:val="ResumeBullet"/>
        <w:numPr>
          <w:ilvl w:val="0"/>
          <w:numId w:val="3"/>
        </w:numPr>
      </w:pPr>
      <w:r>
        <w:t xml:space="preserve">Two semesters of grading, Undergraduate Biochemistry (Dr. Oscar Juárez).</w:t>
      </w:r>
    </w:p>
    <w:p>
      <w:pPr>
        <w:pStyle w:val="Heading2"/>
        <w:keepNext/>
        <w:keepLines/>
        <w:tabs>
          <w:tab w:val="right" w:pos="9026"/>
        </w:tabs>
      </w:pPr>
      <w:r>
        <w:rPr>
          <w:b/>
          <w:bCs/>
        </w:rPr>
        <w:t xml:space="preserve">Instructor</w:t>
      </w:r>
      <w:r>
        <w:t xml:space="preserve"> — Molecular Simulation and Calculation Workshop, Barranquilla, Colombia</w:t>
      </w:r>
      <w:r>
        <w:rPr>
          <w:b/>
          <w:bCs/>
        </w:rPr>
        <w:t xml:space="preserve">	Mar 2022</w:t>
      </w:r>
    </w:p>
    <w:p>
      <w:pPr>
        <w:pStyle w:val="ResumeBullet"/>
        <w:numPr>
          <w:ilvl w:val="0"/>
          <w:numId w:val="3"/>
        </w:numPr>
      </w:pPr>
      <w:r>
        <w:t xml:space="preserve">Taught binding free energy calculations and force field parameterization to an international cohort of researchers.</w:t>
      </w:r>
    </w:p>
    <w:p>
      <w:pPr>
        <w:pStyle w:val="Heading2"/>
        <w:keepNext/>
        <w:keepLines/>
        <w:tabs>
          <w:tab w:val="right" w:pos="9026"/>
        </w:tabs>
      </w:pPr>
      <w:r>
        <w:rPr>
          <w:b/>
          <w:bCs/>
        </w:rPr>
        <w:t xml:space="preserve">Research Mentorship</w:t>
      </w:r>
      <w:r>
        <w:rPr>
          <w:b/>
          <w:bCs/>
        </w:rPr>
        <w:t xml:space="preserve">	Ongoing</w:t>
      </w:r>
    </w:p>
    <w:p>
      <w:pPr>
        <w:pStyle w:val="ResumeBullet"/>
        <w:numPr>
          <w:ilvl w:val="0"/>
          <w:numId w:val="3"/>
        </w:numPr>
      </w:pPr>
      <w:r>
        <w:t xml:space="preserve">Onboarded three graduate students onto the ChiMPSS codebase; the suite is now the standard pipeline of the Minh group across six receptor targets.</w:t>
      </w:r>
    </w:p>
    <w:p>
      <w:pPr>
        <w:pStyle w:val="ResumeBullet"/>
        <w:numPr>
          <w:ilvl w:val="0"/>
          <w:numId w:val="3"/>
        </w:numPr>
      </w:pPr>
      <w:r>
        <w:t xml:space="preserve">Taught and helped train a physical chemistry laboratory student who moved into undergraduate research in the Minh group; now a shared co-author, ChiMPSS co-developer, and Chief Executive Officer of Biagon Inc.</w:t>
      </w:r>
    </w:p>
    <w:p>
      <w:pPr>
        <w:pStyle w:val="Heading1"/>
        <w:keepNext/>
        <w:keepLines/>
      </w:pPr>
      <w:r>
        <w:t xml:space="preserve">PRESENTATIONS</w:t>
      </w:r>
    </w:p>
    <w:p>
      <w:pPr>
        <w:pStyle w:val="ResumeBody"/>
      </w:pPr>
      <w:r>
        <w:rPr>
          <w:b/>
          <w:bCs/>
        </w:rPr>
        <w:t xml:space="preserve">Oral — </w:t>
      </w:r>
      <w:r>
        <w:t xml:space="preserve">“Energy-Preserving Variational Auto-Encoding and Decoding of Atomistic Protein Structure.” American Chemical Society National Meeting, San Francisco, August 2023; Gibbs 37 Conference on Biothermodynamics, October 2023.</w:t>
      </w:r>
    </w:p>
    <w:p>
      <w:pPr>
        <w:pStyle w:val="ResumeBody"/>
      </w:pPr>
      <w:r>
        <w:rPr>
          <w:b/>
          <w:bCs/>
        </w:rPr>
        <w:t xml:space="preserve">Poster — </w:t>
      </w:r>
      <w:r>
        <w:t xml:space="preserve">“Solvation Free Energy Calculations using RealNVP Normalizing Flows.” American Chemical Society National Meeting, Chicago, August 2022; Gibbs 36 Conference on Biothermodynamics, October 2022.</w:t>
      </w:r>
    </w:p>
    <w:p>
      <w:pPr>
        <w:pStyle w:val="ResumeBody"/>
      </w:pPr>
      <w:r>
        <w:rPr>
          <w:b/>
          <w:bCs/>
        </w:rPr>
        <w:t xml:space="preserve">Poster — </w:t>
      </w:r>
      <w:r>
        <w:t xml:space="preserve">Annual graduate research presentations, Illinois Institute of Technology, 2021–2025 (topics vary).</w:t>
      </w:r>
    </w:p>
    <w:p>
      <w:pPr>
        <w:pStyle w:val="Heading1"/>
        <w:keepNext/>
        <w:keepLines/>
      </w:pPr>
      <w:r>
        <w:t xml:space="preserve">PROFESSIONAL DEVELOPMENT</w:t>
      </w:r>
    </w:p>
    <w:p>
      <w:pPr>
        <w:pStyle w:val="ResumeBullet"/>
        <w:numPr>
          <w:ilvl w:val="0"/>
          <w:numId w:val="3"/>
        </w:numPr>
      </w:pPr>
      <w:r>
        <w:rPr>
          <w:b/>
          <w:bCs/>
        </w:rPr>
        <w:t xml:space="preserve">Babson College SUD Sprint</w:t>
      </w:r>
      <w:r>
        <w:t xml:space="preserve"> — 2025 cohort member, Babson Healthcare Entrepreneurship Center.</w:t>
      </w:r>
    </w:p>
    <w:p>
      <w:pPr>
        <w:pStyle w:val="ResumeBullet"/>
        <w:numPr>
          <w:ilvl w:val="0"/>
          <w:numId w:val="3"/>
        </w:numPr>
      </w:pPr>
      <w:r>
        <w:rPr>
          <w:b/>
          <w:bCs/>
        </w:rPr>
        <w:t xml:space="preserve">Nucleate Startup Accelerator</w:t>
      </w:r>
      <w:r>
        <w:t xml:space="preserve"> (Spring 2025); </w:t>
      </w:r>
      <w:r>
        <w:rPr>
          <w:b/>
          <w:bCs/>
        </w:rPr>
        <w:t xml:space="preserve">IIT Kaplan Institute Startup Accelerator</w:t>
      </w:r>
      <w:r>
        <w:t xml:space="preserve"> (Spring 2024); </w:t>
      </w:r>
      <w:r>
        <w:rPr>
          <w:b/>
          <w:bCs/>
        </w:rPr>
        <w:t xml:space="preserve">Loyola I-Corps Program</w:t>
      </w:r>
      <w:r>
        <w:t xml:space="preserve"> (Fall 2023).</w:t>
      </w:r>
    </w:p>
    <w:p>
      <w:pPr>
        <w:pStyle w:val="ResumeBullet"/>
        <w:numPr>
          <w:ilvl w:val="0"/>
          <w:numId w:val="3"/>
        </w:numPr>
      </w:pPr>
      <w:r>
        <w:rPr>
          <w:b/>
          <w:bCs/>
        </w:rPr>
        <w:t xml:space="preserve">BIO International Convention</w:t>
      </w:r>
      <w:r>
        <w:t xml:space="preserve"> — attended annually since 2024; business development with contract research organizations and prospective partners on behalf of Biagon Inc.</w:t>
      </w:r>
    </w:p>
    <w:p>
      <w:pPr>
        <w:pStyle w:val="ResumeBullet"/>
        <w:numPr>
          <w:ilvl w:val="0"/>
          <w:numId w:val="3"/>
        </w:numPr>
      </w:pPr>
      <w:r>
        <w:rPr>
          <w:b/>
          <w:bCs/>
        </w:rPr>
        <w:t xml:space="preserve">ACS–NVIDIA Machine Learning Workshop</w:t>
      </w:r>
      <w:r>
        <w:t xml:space="preserve"> — American Chemical Society National Meeting, Chicago, August 2022. Awarded the ACS–NVIDIA Certificate of Machine Learning Knowledge.</w:t>
      </w:r>
    </w:p>
    <w:p>
      <w:pPr>
        <w:pStyle w:val="Heading1"/>
        <w:keepNext/>
        <w:keepLines/>
      </w:pPr>
      <w:r>
        <w:t xml:space="preserve">TECHNICAL SKILLS</w:t>
      </w:r>
    </w:p>
    <w:p>
      <w:pPr>
        <w:pStyle w:val="ResumeBody"/>
      </w:pPr>
      <w:r>
        <w:rPr>
          <w:b/>
          <w:bCs/>
        </w:rPr>
        <w:t xml:space="preserve">Computer-Aided Drug Design:  </w:t>
      </w:r>
      <w:r>
        <w:t xml:space="preserve">Molecular docking and virtual screening at multi-million-compound scale (AutoDock Vina, MGLTools); iterative hit expansion and focused library enumeration; pharmacophore identification; protein–ligand interaction fingerprinting (ProLIF); binding pose clustering; alchemical and machine-learning binding free energy calculation (YANK); ligand polarization corrections; structure-guided structure–activity relationship development.</w:t>
      </w:r>
    </w:p>
    <w:p>
      <w:pPr>
        <w:pStyle w:val="ResumeBody"/>
      </w:pPr>
      <w:r>
        <w:rPr>
          <w:b/>
          <w:bCs/>
        </w:rPr>
        <w:t xml:space="preserve">Molecular Dynamics and Enhanced Sampling:  </w:t>
      </w:r>
      <w:r>
        <w:t xml:space="preserve">OpenMM; parallel-tempering replica exchange with adaptive state insertion; MBAR equilibration detection and importance resampling (pyMBAR); membrane protein system construction (CHARMM-GUI, PDBFixer); structure repair and homology modeling (MODELLER, AlphaFold); protonation (PDB2PQR, AmberTools); force field parameterization and concatenation across ff14SB, Lipid17, OPC3/OPC, GAFF2, and OpenFF/SMIRNOFF, with AM1-BCC charge assignment via antechamber.</w:t>
      </w:r>
    </w:p>
    <w:p>
      <w:pPr>
        <w:pStyle w:val="ResumeBody"/>
      </w:pPr>
      <w:r>
        <w:rPr>
          <w:b/>
          <w:bCs/>
        </w:rPr>
        <w:t xml:space="preserve">Machine Learning:  </w:t>
      </w:r>
      <w:r>
        <w:t xml:space="preserve">JAX, Flax; stochastic and deterministic autoencoders; normalizing flows (RealNVP); nonlinear dimensionality reduction and intrinsic dimensionality estimation; HDBSCAN, UMAP, principal component analysis, scikit-learn.</w:t>
      </w:r>
    </w:p>
    <w:p>
      <w:pPr>
        <w:pStyle w:val="ResumeBody"/>
      </w:pPr>
      <w:r>
        <w:rPr>
          <w:b/>
          <w:bCs/>
        </w:rPr>
        <w:t xml:space="preserve">Cheminformatics and Data:  </w:t>
      </w:r>
      <w:r>
        <w:t xml:space="preserve">RDKit (conformer generation, maximal common substructure alignment, protonation); OpenFF Toolkit; SMILES handling; mining and curation from the Protein Data Bank, PubChem, GPCRdb, OPM, and Enamine libraries; MDTraj, MDAnalysis, NumPy, SciPy, Pandas, Matplotlib, Jupyter, NetCDF.</w:t>
      </w:r>
    </w:p>
    <w:p>
      <w:pPr>
        <w:pStyle w:val="ResumeBody"/>
      </w:pPr>
      <w:r>
        <w:rPr>
          <w:b/>
          <w:bCs/>
        </w:rPr>
        <w:t xml:space="preserve">High-Performance Computing:  </w:t>
      </w:r>
      <w:r>
        <w:t xml:space="preserve">Bridges2, Expanse, and Jetstream2; SLURM, PBS, and VM-based environments; CPU-parallel docking campaigns via batch partitioning and multiprocessing; GPU-accelerated molecular dynamics.</w:t>
      </w:r>
    </w:p>
    <w:p>
      <w:pPr>
        <w:pStyle w:val="ResumeBody"/>
      </w:pPr>
      <w:r>
        <w:rPr>
          <w:b/>
          <w:bCs/>
        </w:rPr>
        <w:t xml:space="preserve">Programming:  </w:t>
      </w:r>
      <w:r>
        <w:t xml:space="preserve">Python (expert), Bash, C; Git and GitHub; Linux.</w:t>
      </w:r>
    </w:p>
    <w:p>
      <w:pPr>
        <w:pStyle w:val="Heading1"/>
        <w:keepNext/>
        <w:keepLines/>
      </w:pPr>
      <w:r>
        <w:t xml:space="preserve">CERTIFICATIONS AND LICENSES</w:t>
      </w:r>
    </w:p>
    <w:p>
      <w:pPr>
        <w:pStyle w:val="ResumeBullet"/>
        <w:numPr>
          <w:ilvl w:val="0"/>
          <w:numId w:val="3"/>
        </w:numPr>
      </w:pPr>
      <w:r>
        <w:t xml:space="preserve">ACS–NVIDIA Certificate of Machine Learning Knowledge (2022).</w:t>
      </w:r>
    </w:p>
    <w:p>
      <w:pPr>
        <w:pStyle w:val="ResumeBullet"/>
        <w:numPr>
          <w:ilvl w:val="0"/>
          <w:numId w:val="3"/>
        </w:numPr>
      </w:pPr>
      <w:r>
        <w:t xml:space="preserve">Senior Deckhand, United States Coast Guard designation (2024).</w:t>
      </w:r>
    </w:p>
    <w:p>
      <w:pPr>
        <w:pStyle w:val="ResumeBullet"/>
        <w:numPr>
          <w:ilvl w:val="0"/>
          <w:numId w:val="3"/>
        </w:numPr>
      </w:pPr>
      <w:r>
        <w:t xml:space="preserve">100-Ton Master of Motor Vessels, Great Lakes and Inland, and OUPV Near Coastal, Great Lakes and Inland — application submitted and under United States Coast Guard review.</w:t>
      </w:r>
    </w:p>
    <w:p>
      <w:pPr>
        <w:pStyle w:val="Heading1"/>
        <w:keepNext/>
        <w:keepLines/>
      </w:pPr>
      <w:r>
        <w:t xml:space="preserve">LANGUAGES</w:t>
      </w:r>
    </w:p>
    <w:p>
      <w:pPr>
        <w:pStyle w:val="ResumeBody"/>
      </w:pPr>
      <w:r>
        <w:t xml:space="preserve">English (native). Russian (reading proficiency; two-year university course series in language and literature).</w:t>
      </w:r>
    </w:p>
    <w:sectPr>
      <w:pgSz w:w="12240" w:h="15840" w:orient="portrait"/>
      <w:pgMar w:top="760" w:right="860" w:bottom="70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2" w:hanging="201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3" w:hanging="403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18"/>
        <w:szCs w:val="18"/>
      </w:rPr>
    </w:rPrDefault>
    <w:pPrDefault>
      <w:pPr>
        <w:spacing w:line="224"/>
      </w:pPr>
    </w:pPrDefault>
  </w:docDefaults>
  <w:style w:type="paragraph" w:styleId="Title">
    <w:name w:val="Title"/>
    <w:basedOn w:val="Normal"/>
    <w:next w:val="Normal"/>
    <w:qFormat/>
    <w:pPr>
      <w:spacing w:after="20"/>
      <w:jc w:val="center"/>
    </w:pPr>
    <w:rPr>
      <w:rFonts w:ascii="Calibri" w:cs="Calibri" w:eastAsia="Calibri" w:hAnsi="Calibri"/>
      <w:b/>
      <w:bCs/>
      <w:color w:val="1F3864"/>
      <w:spacing w:val="16"/>
      <w:sz w:val="38"/>
      <w:szCs w:val="38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1"/>
      </w:pBdr>
      <w:spacing w:after="70" w:before="140"/>
    </w:pPr>
    <w:rPr>
      <w:rFonts w:ascii="Calibri" w:cs="Calibri" w:eastAsia="Calibri" w:hAnsi="Calibri"/>
      <w:b/>
      <w:bCs/>
      <w:color w:val="1F3864"/>
      <w:spacing w:val="24"/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" w:before="55"/>
    </w:pPr>
    <w:rPr>
      <w:rFonts w:ascii="Calibri" w:cs="Calibri" w:eastAsia="Calibri" w:hAnsi="Calibri"/>
      <w:b/>
      <w:bCs/>
      <w:color w:val="262626"/>
      <w:sz w:val="19"/>
      <w:szCs w:val="19"/>
    </w:rPr>
  </w:style>
  <w:style w:type="paragraph" w:styleId="Heading3">
    <w:name w:val="Heading 3"/>
    <w:basedOn w:val="Normal"/>
    <w:next w:val="Normal"/>
    <w:qFormat/>
    <w:pPr>
      <w:spacing w:after="14" w:before="70"/>
    </w:pPr>
    <w:rPr>
      <w:rFonts w:ascii="Calibri" w:cs="Calibri" w:eastAsia="Calibri" w:hAnsi="Calibri"/>
      <w:b/>
      <w:bCs/>
      <w:color w:val="1F3864"/>
      <w:sz w:val="19"/>
      <w:szCs w:val="19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ntactLine">
    <w:name w:val="Contact Line"/>
    <w:basedOn w:val="Normal"/>
    <w:next w:val="Normal"/>
    <w:qFormat/>
    <w:pPr>
      <w:spacing w:after="40"/>
      <w:jc w:val="center"/>
    </w:pPr>
    <w:rPr>
      <w:rFonts w:ascii="Calibri" w:cs="Calibri" w:eastAsia="Calibri" w:hAnsi="Calibri"/>
      <w:color w:val="262626"/>
      <w:sz w:val="18"/>
      <w:szCs w:val="18"/>
    </w:rPr>
  </w:style>
  <w:style w:type="paragraph" w:styleId="ResumeBody">
    <w:name w:val="Resume Body"/>
    <w:basedOn w:val="Normal"/>
    <w:next w:val="ResumeBody"/>
    <w:qFormat/>
    <w:pPr>
      <w:spacing w:after="40"/>
    </w:pPr>
    <w:rPr>
      <w:rFonts w:ascii="Calibri" w:cs="Calibri" w:eastAsia="Calibri" w:hAnsi="Calibri"/>
      <w:color w:val="262626"/>
      <w:sz w:val="18"/>
      <w:szCs w:val="18"/>
    </w:rPr>
  </w:style>
  <w:style w:type="paragraph" w:styleId="ResumeMeta">
    <w:name w:val="Resume Meta"/>
    <w:basedOn w:val="Normal"/>
    <w:next w:val="ResumeBody"/>
    <w:qFormat/>
    <w:pPr>
      <w:spacing w:after="26"/>
    </w:pPr>
    <w:rPr>
      <w:rFonts w:ascii="Calibri" w:cs="Calibri" w:eastAsia="Calibri" w:hAnsi="Calibri"/>
      <w:i/>
      <w:iCs/>
      <w:color w:val="262626"/>
      <w:sz w:val="18"/>
      <w:szCs w:val="18"/>
    </w:rPr>
  </w:style>
  <w:style w:type="paragraph" w:styleId="ResumeBullet">
    <w:name w:val="Resume Bullet"/>
    <w:basedOn w:val="Normal"/>
    <w:next w:val="ResumeBullet"/>
    <w:qFormat/>
    <w:pPr>
      <w:spacing w:after="30"/>
    </w:pPr>
    <w:rPr>
      <w:rFonts w:ascii="Calibri" w:cs="Calibri" w:eastAsia="Calibri" w:hAnsi="Calibri"/>
      <w:color w:val="26262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Joseph A. DePaolo-Boisvert — Curriculum Vitae</dc:title>
  <dc:creator>Joseph A. DePaolo-Boisvert</dc:creator>
  <cp:lastModifiedBy>Un-named</cp:lastModifiedBy>
  <cp:revision>1</cp:revision>
  <dcterms:created xsi:type="dcterms:W3CDTF">2026-07-25T19:29:48.988Z</dcterms:created>
  <dcterms:modified xsi:type="dcterms:W3CDTF">2026-07-25T19:29:48.988Z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