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910F4" w14:textId="77777777" w:rsidR="0036108F" w:rsidRPr="0036108F" w:rsidRDefault="0036108F" w:rsidP="0036108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6108F">
        <w:rPr>
          <w:rFonts w:ascii="Times New Roman" w:eastAsia="Times New Roman" w:hAnsi="Times New Roman" w:cs="Times New Roman"/>
          <w:b/>
          <w:bCs/>
          <w:kern w:val="36"/>
          <w:sz w:val="48"/>
          <w:szCs w:val="48"/>
          <w:lang w:eastAsia="en-GB"/>
          <w14:ligatures w14:val="none"/>
        </w:rPr>
        <w:t>Strategic Roadmap: Transitioning to Config-Driven Agentic Architectures</w:t>
      </w:r>
    </w:p>
    <w:p w14:paraId="61BC1FF4"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1. Executive Vision: The Move to Intent-First Enterprise Systems</w:t>
      </w:r>
    </w:p>
    <w:p w14:paraId="0922C02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In the current enterprise landscape, we are witnessing a fundamental shift from rigid, hard-coded application logic to "Intent-First" systems. Historically, software was defined by static menus and pre-determined paths. Today, we are moving toward a paradigm where the enterprise focuses on capturing and interpreting user intent through natural language, allowing the system to orchestrate complex internal services dynamically. This architecture enables the enterprise to harness the speed of AI while maintaining the rigorous governance required for bank-grade operations.</w:t>
      </w:r>
    </w:p>
    <w:p w14:paraId="1531D928"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To realize this vision, we have established the following Strategic Imperatives:</w:t>
      </w:r>
    </w:p>
    <w:p w14:paraId="34649039" w14:textId="77777777" w:rsidR="0036108F" w:rsidRPr="0036108F" w:rsidRDefault="0036108F" w:rsidP="0036108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AI-Assisted Employee Workflows:</w:t>
      </w:r>
      <w:r w:rsidRPr="0036108F">
        <w:rPr>
          <w:rFonts w:ascii="Times New Roman" w:eastAsia="Times New Roman" w:hAnsi="Times New Roman" w:cs="Times New Roman"/>
          <w:kern w:val="0"/>
          <w:lang w:eastAsia="en-GB"/>
          <w14:ligatures w14:val="none"/>
        </w:rPr>
        <w:t xml:space="preserve"> Empowering staff to trigger complex tasks—such as leave applications, medical claims, or policy inquiries—through natural language interfaces.</w:t>
      </w:r>
    </w:p>
    <w:p w14:paraId="10FDB97F" w14:textId="77777777" w:rsidR="0036108F" w:rsidRPr="0036108F" w:rsidRDefault="0036108F" w:rsidP="0036108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Language Independence:</w:t>
      </w:r>
      <w:r w:rsidRPr="0036108F">
        <w:rPr>
          <w:rFonts w:ascii="Times New Roman" w:eastAsia="Times New Roman" w:hAnsi="Times New Roman" w:cs="Times New Roman"/>
          <w:kern w:val="0"/>
          <w:lang w:eastAsia="en-GB"/>
          <w14:ligatures w14:val="none"/>
        </w:rPr>
        <w:t xml:space="preserve"> Decoupling the business logic from the specific programming language, ensuring the system can operate across Java and Python runtimes.</w:t>
      </w:r>
    </w:p>
    <w:p w14:paraId="70C1E7FE" w14:textId="77777777" w:rsidR="0036108F" w:rsidRPr="0036108F" w:rsidRDefault="0036108F" w:rsidP="0036108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Cloud Portability:</w:t>
      </w:r>
      <w:r w:rsidRPr="0036108F">
        <w:rPr>
          <w:rFonts w:ascii="Times New Roman" w:eastAsia="Times New Roman" w:hAnsi="Times New Roman" w:cs="Times New Roman"/>
          <w:kern w:val="0"/>
          <w:lang w:eastAsia="en-GB"/>
          <w14:ligatures w14:val="none"/>
        </w:rPr>
        <w:t xml:space="preserve"> Architecting for flexibility across on-premises, OpenShift, or public cloud environments like AWS.</w:t>
      </w:r>
    </w:p>
    <w:p w14:paraId="59EDF794" w14:textId="77777777" w:rsidR="0036108F" w:rsidRPr="0036108F" w:rsidRDefault="0036108F" w:rsidP="0036108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Elimination of Vendor Lock-in:</w:t>
      </w:r>
      <w:r w:rsidRPr="0036108F">
        <w:rPr>
          <w:rFonts w:ascii="Times New Roman" w:eastAsia="Times New Roman" w:hAnsi="Times New Roman" w:cs="Times New Roman"/>
          <w:kern w:val="0"/>
          <w:lang w:eastAsia="en-GB"/>
          <w14:ligatures w14:val="none"/>
        </w:rPr>
        <w:t xml:space="preserve"> Utilizing standardized abstraction layers to prevent dependency on any single LLM provider or cloud ecosystem.</w:t>
      </w:r>
    </w:p>
    <w:p w14:paraId="193FCFCB"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Central to this strategy is the "AI Proposes | Governance Executes" paradigm. This critical separation ensures that while AI agents reason and suggest actions, they lack the authority to modify enterprise systems directly. Only deterministic, governed services possess "write" permissions. This boundary is the foundation of "Bank-Grade" security and enterprise trust. By adopting the philosophy of "Graphs as Data," we transform the Software Development Lifecycle (SDLC) from a cycle of "re-coding" to a cycle of "re-configuring," creating a foundation that is as durable as it is flexible.</w:t>
      </w:r>
    </w:p>
    <w:p w14:paraId="40136F38"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2. Core Architecture Philosophy: Decoupling Logic from Execution</w:t>
      </w:r>
    </w:p>
    <w:p w14:paraId="449E945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The strategic advantage of a "Config-Driven" approach lies in treating workflows as data rather than ephemeral code. By decoupling business logic from the underlying runtime, we ensure long-term maintenance and multi-runtime compatibility. This allows the enterprise to update reasoning models or switch cloud providers without the need to rebuild the core workflow logic.</w:t>
      </w:r>
    </w:p>
    <w:p w14:paraId="12AD4451"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The Logic vs. Runtime Duality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0"/>
        <w:gridCol w:w="2503"/>
        <w:gridCol w:w="5357"/>
      </w:tblGrid>
      <w:tr w:rsidR="0036108F" w:rsidRPr="0036108F" w14:paraId="547FDBA9"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1C229D30"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lastRenderedPageBreak/>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4F208"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6149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Strategic Impact</w:t>
            </w:r>
          </w:p>
        </w:tc>
      </w:tr>
      <w:tr w:rsidR="0036108F" w:rsidRPr="0036108F" w14:paraId="55B483F6"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481ACC3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Graphs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85FEC"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YAML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4BEB3"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Portability:</w:t>
            </w:r>
            <w:r w:rsidRPr="0036108F">
              <w:rPr>
                <w:rFonts w:ascii="Times New Roman" w:eastAsia="Times New Roman" w:hAnsi="Times New Roman" w:cs="Times New Roman"/>
                <w:kern w:val="0"/>
                <w:lang w:eastAsia="en-GB"/>
                <w14:ligatures w14:val="none"/>
              </w:rPr>
              <w:t xml:space="preserve"> Workflows are defined as data, making them independent of the codebase.</w:t>
            </w:r>
          </w:p>
        </w:tc>
      </w:tr>
      <w:tr w:rsidR="0036108F" w:rsidRPr="0036108F" w14:paraId="324302F3"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09375148"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5F3A0"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Execution Engine (Spring AI / LangGraph4j)</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00B00"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Standardized Execution:</w:t>
            </w:r>
            <w:r w:rsidRPr="0036108F">
              <w:rPr>
                <w:rFonts w:ascii="Times New Roman" w:eastAsia="Times New Roman" w:hAnsi="Times New Roman" w:cs="Times New Roman"/>
                <w:kern w:val="0"/>
                <w:lang w:eastAsia="en-GB"/>
                <w14:ligatures w14:val="none"/>
              </w:rPr>
              <w:t xml:space="preserve"> Runtimes interpret shared logic; Spring AI provides model abstraction across </w:t>
            </w:r>
            <w:proofErr w:type="spellStart"/>
            <w:r w:rsidRPr="0036108F">
              <w:rPr>
                <w:rFonts w:ascii="Times New Roman" w:eastAsia="Times New Roman" w:hAnsi="Times New Roman" w:cs="Times New Roman"/>
                <w:kern w:val="0"/>
                <w:lang w:eastAsia="en-GB"/>
                <w14:ligatures w14:val="none"/>
              </w:rPr>
              <w:t>OpenAI</w:t>
            </w:r>
            <w:proofErr w:type="spellEnd"/>
            <w:r w:rsidRPr="0036108F">
              <w:rPr>
                <w:rFonts w:ascii="Times New Roman" w:eastAsia="Times New Roman" w:hAnsi="Times New Roman" w:cs="Times New Roman"/>
                <w:kern w:val="0"/>
                <w:lang w:eastAsia="en-GB"/>
                <w14:ligatures w14:val="none"/>
              </w:rPr>
              <w:t>/Claude.</w:t>
            </w:r>
          </w:p>
        </w:tc>
      </w:tr>
      <w:tr w:rsidR="0036108F" w:rsidRPr="0036108F" w14:paraId="4CEAF4CE"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4FD4F92C"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Nodes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7DF1B"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Modular Plugins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6EBA6"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Modular Evolution:</w:t>
            </w:r>
            <w:r w:rsidRPr="0036108F">
              <w:rPr>
                <w:rFonts w:ascii="Times New Roman" w:eastAsia="Times New Roman" w:hAnsi="Times New Roman" w:cs="Times New Roman"/>
                <w:kern w:val="0"/>
                <w:lang w:eastAsia="en-GB"/>
                <w14:ligatures w14:val="none"/>
              </w:rPr>
              <w:t xml:space="preserve"> Individual steps (e.g., OCR, Rule Checks) evolve independently without breaking the graph.</w:t>
            </w:r>
          </w:p>
        </w:tc>
      </w:tr>
    </w:tbl>
    <w:p w14:paraId="6CBE50D5"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Runtime Independence and Talent Strategy</w:t>
      </w:r>
    </w:p>
    <w:p w14:paraId="5C2FFEF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This architecture enables a seamless transition between Java (LangGraph4j) and Python (</w:t>
      </w:r>
      <w:proofErr w:type="spellStart"/>
      <w:r w:rsidRPr="0036108F">
        <w:rPr>
          <w:rFonts w:ascii="Times New Roman" w:eastAsia="Times New Roman" w:hAnsi="Times New Roman" w:cs="Times New Roman"/>
          <w:kern w:val="0"/>
          <w:lang w:eastAsia="en-GB"/>
          <w14:ligatures w14:val="none"/>
        </w:rPr>
        <w:t>LangGraph</w:t>
      </w:r>
      <w:proofErr w:type="spellEnd"/>
      <w:r w:rsidRPr="0036108F">
        <w:rPr>
          <w:rFonts w:ascii="Times New Roman" w:eastAsia="Times New Roman" w:hAnsi="Times New Roman" w:cs="Times New Roman"/>
          <w:kern w:val="0"/>
          <w:lang w:eastAsia="en-GB"/>
          <w14:ligatures w14:val="none"/>
        </w:rPr>
        <w:t xml:space="preserve">) environments through shared configurations. Beyond technical portability, this serves as a critical </w:t>
      </w:r>
      <w:r w:rsidRPr="0036108F">
        <w:rPr>
          <w:rFonts w:ascii="Times New Roman" w:eastAsia="Times New Roman" w:hAnsi="Times New Roman" w:cs="Times New Roman"/>
          <w:b/>
          <w:bCs/>
          <w:kern w:val="0"/>
          <w:lang w:eastAsia="en-GB"/>
          <w14:ligatures w14:val="none"/>
        </w:rPr>
        <w:t>talent strategy</w:t>
      </w:r>
      <w:r w:rsidRPr="0036108F">
        <w:rPr>
          <w:rFonts w:ascii="Times New Roman" w:eastAsia="Times New Roman" w:hAnsi="Times New Roman" w:cs="Times New Roman"/>
          <w:kern w:val="0"/>
          <w:lang w:eastAsia="en-GB"/>
          <w14:ligatures w14:val="none"/>
        </w:rPr>
        <w:t>: it allows the enterprise to tap into the Python data science ecosystem for rapid AI innovation while leveraging the existing Java backend ecosystem for enterprise-grade stability and governance. This portability is not accidental; it is enforced by a layer of stable, portable artifacts that serve as the system's "Ground Truth."</w:t>
      </w:r>
    </w:p>
    <w:p w14:paraId="3854AEFB"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3. The Portable Artifact Layer: Ensuring Cross-Platform Stability</w:t>
      </w:r>
    </w:p>
    <w:p w14:paraId="23C9B2F2"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Preserving stable artifacts is the linchpin of our strategy. These artifacts represent the immutable "Ground Truth" that survives migrations across languages, frameworks, and cloud providers.</w:t>
      </w:r>
    </w:p>
    <w:p w14:paraId="0BE2A6A3"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Core Portable Artifacts</w:t>
      </w:r>
    </w:p>
    <w:p w14:paraId="111F81F3" w14:textId="77777777" w:rsidR="0036108F" w:rsidRPr="0036108F" w:rsidRDefault="0036108F" w:rsidP="0036108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Graph YAML:</w:t>
      </w:r>
      <w:r w:rsidRPr="0036108F">
        <w:rPr>
          <w:rFonts w:ascii="Times New Roman" w:eastAsia="Times New Roman" w:hAnsi="Times New Roman" w:cs="Times New Roman"/>
          <w:kern w:val="0"/>
          <w:lang w:eastAsia="en-GB"/>
          <w14:ligatures w14:val="none"/>
        </w:rPr>
        <w:t xml:space="preserve"> The primary workflow definition. It maps nodes and edges, defining the logical path from intent to resolution.</w:t>
      </w:r>
    </w:p>
    <w:p w14:paraId="00C90CBD" w14:textId="77777777" w:rsidR="0036108F" w:rsidRPr="0036108F" w:rsidRDefault="0036108F" w:rsidP="0036108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Tool Registry (including Tool Contracts/API Schemas):</w:t>
      </w:r>
      <w:r w:rsidRPr="0036108F">
        <w:rPr>
          <w:rFonts w:ascii="Times New Roman" w:eastAsia="Times New Roman" w:hAnsi="Times New Roman" w:cs="Times New Roman"/>
          <w:kern w:val="0"/>
          <w:lang w:eastAsia="en-GB"/>
          <w14:ligatures w14:val="none"/>
        </w:rPr>
        <w:t xml:space="preserve"> Managed via Postgres or JSON, this </w:t>
      </w:r>
      <w:proofErr w:type="spellStart"/>
      <w:r w:rsidRPr="0036108F">
        <w:rPr>
          <w:rFonts w:ascii="Times New Roman" w:eastAsia="Times New Roman" w:hAnsi="Times New Roman" w:cs="Times New Roman"/>
          <w:kern w:val="0"/>
          <w:lang w:eastAsia="en-GB"/>
          <w14:ligatures w14:val="none"/>
        </w:rPr>
        <w:t>catalogs</w:t>
      </w:r>
      <w:proofErr w:type="spellEnd"/>
      <w:r w:rsidRPr="0036108F">
        <w:rPr>
          <w:rFonts w:ascii="Times New Roman" w:eastAsia="Times New Roman" w:hAnsi="Times New Roman" w:cs="Times New Roman"/>
          <w:kern w:val="0"/>
          <w:lang w:eastAsia="en-GB"/>
          <w14:ligatures w14:val="none"/>
        </w:rPr>
        <w:t xml:space="preserve"> enterprise API mappings and enforces the interface contracts between agents and internal systems.</w:t>
      </w:r>
    </w:p>
    <w:p w14:paraId="3BFA70BF" w14:textId="77777777" w:rsidR="0036108F" w:rsidRPr="0036108F" w:rsidRDefault="0036108F" w:rsidP="0036108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Rules JSON:</w:t>
      </w:r>
      <w:r w:rsidRPr="0036108F">
        <w:rPr>
          <w:rFonts w:ascii="Times New Roman" w:eastAsia="Times New Roman" w:hAnsi="Times New Roman" w:cs="Times New Roman"/>
          <w:kern w:val="0"/>
          <w:lang w:eastAsia="en-GB"/>
          <w14:ligatures w14:val="none"/>
        </w:rPr>
        <w:t xml:space="preserve"> A deterministic policy layer containing the logic used to validate requests (e.g., </w:t>
      </w:r>
      <w:r w:rsidRPr="0036108F">
        <w:rPr>
          <w:rFonts w:ascii="Courier New" w:eastAsia="Times New Roman" w:hAnsi="Courier New" w:cs="Courier New"/>
          <w:kern w:val="0"/>
          <w:sz w:val="20"/>
          <w:szCs w:val="20"/>
          <w:lang w:eastAsia="en-GB"/>
          <w14:ligatures w14:val="none"/>
        </w:rPr>
        <w:t>leave.eligibility.v0</w:t>
      </w:r>
      <w:r w:rsidRPr="0036108F">
        <w:rPr>
          <w:rFonts w:ascii="Times New Roman" w:eastAsia="Times New Roman" w:hAnsi="Times New Roman" w:cs="Times New Roman"/>
          <w:kern w:val="0"/>
          <w:lang w:eastAsia="en-GB"/>
          <w14:ligatures w14:val="none"/>
        </w:rPr>
        <w:t>) before actions are executed.</w:t>
      </w:r>
    </w:p>
    <w:p w14:paraId="11C4312C" w14:textId="77777777" w:rsidR="0036108F" w:rsidRPr="0036108F" w:rsidRDefault="0036108F" w:rsidP="0036108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State Schema:</w:t>
      </w:r>
      <w:r w:rsidRPr="0036108F">
        <w:rPr>
          <w:rFonts w:ascii="Times New Roman" w:eastAsia="Times New Roman" w:hAnsi="Times New Roman" w:cs="Times New Roman"/>
          <w:kern w:val="0"/>
          <w:lang w:eastAsia="en-GB"/>
          <w14:ligatures w14:val="none"/>
        </w:rPr>
        <w:t xml:space="preserve"> The definition of the shared execution context (</w:t>
      </w:r>
      <w:proofErr w:type="spellStart"/>
      <w:r w:rsidRPr="0036108F">
        <w:rPr>
          <w:rFonts w:ascii="Times New Roman" w:eastAsia="Times New Roman" w:hAnsi="Times New Roman" w:cs="Times New Roman"/>
          <w:kern w:val="0"/>
          <w:lang w:eastAsia="en-GB"/>
          <w14:ligatures w14:val="none"/>
        </w:rPr>
        <w:t>AgentState</w:t>
      </w:r>
      <w:proofErr w:type="spellEnd"/>
      <w:r w:rsidRPr="0036108F">
        <w:rPr>
          <w:rFonts w:ascii="Times New Roman" w:eastAsia="Times New Roman" w:hAnsi="Times New Roman" w:cs="Times New Roman"/>
          <w:kern w:val="0"/>
          <w:lang w:eastAsia="en-GB"/>
          <w14:ligatures w14:val="none"/>
        </w:rPr>
        <w:t>), ensuring context is preserved across the workflow.</w:t>
      </w:r>
    </w:p>
    <w:p w14:paraId="2E9F2580"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The </w:t>
      </w:r>
      <w:r w:rsidRPr="0036108F">
        <w:rPr>
          <w:rFonts w:ascii="Times New Roman" w:eastAsia="Times New Roman" w:hAnsi="Times New Roman" w:cs="Times New Roman"/>
          <w:b/>
          <w:bCs/>
          <w:kern w:val="0"/>
          <w:lang w:eastAsia="en-GB"/>
          <w14:ligatures w14:val="none"/>
        </w:rPr>
        <w:t>State Schema</w:t>
      </w:r>
      <w:r w:rsidRPr="0036108F">
        <w:rPr>
          <w:rFonts w:ascii="Times New Roman" w:eastAsia="Times New Roman" w:hAnsi="Times New Roman" w:cs="Times New Roman"/>
          <w:kern w:val="0"/>
          <w:lang w:eastAsia="en-GB"/>
          <w14:ligatures w14:val="none"/>
        </w:rPr>
        <w:t xml:space="preserve"> is the most critical factor for multi-agent collaboration across different runtimes. It enables </w:t>
      </w:r>
      <w:r w:rsidRPr="0036108F">
        <w:rPr>
          <w:rFonts w:ascii="Times New Roman" w:eastAsia="Times New Roman" w:hAnsi="Times New Roman" w:cs="Times New Roman"/>
          <w:b/>
          <w:bCs/>
          <w:kern w:val="0"/>
          <w:lang w:eastAsia="en-GB"/>
          <w14:ligatures w14:val="none"/>
        </w:rPr>
        <w:t>Session Persistence</w:t>
      </w:r>
      <w:r w:rsidRPr="0036108F">
        <w:rPr>
          <w:rFonts w:ascii="Times New Roman" w:eastAsia="Times New Roman" w:hAnsi="Times New Roman" w:cs="Times New Roman"/>
          <w:kern w:val="0"/>
          <w:lang w:eastAsia="en-GB"/>
          <w14:ligatures w14:val="none"/>
        </w:rPr>
        <w:t xml:space="preserve"> and </w:t>
      </w:r>
      <w:r w:rsidRPr="0036108F">
        <w:rPr>
          <w:rFonts w:ascii="Times New Roman" w:eastAsia="Times New Roman" w:hAnsi="Times New Roman" w:cs="Times New Roman"/>
          <w:b/>
          <w:bCs/>
          <w:kern w:val="0"/>
          <w:lang w:eastAsia="en-GB"/>
          <w14:ligatures w14:val="none"/>
        </w:rPr>
        <w:t>Context Handoff</w:t>
      </w:r>
      <w:r w:rsidRPr="0036108F">
        <w:rPr>
          <w:rFonts w:ascii="Times New Roman" w:eastAsia="Times New Roman" w:hAnsi="Times New Roman" w:cs="Times New Roman"/>
          <w:kern w:val="0"/>
          <w:lang w:eastAsia="en-GB"/>
          <w14:ligatures w14:val="none"/>
        </w:rPr>
        <w:t>, allowing a session started in a Java-based governance layer to be handed off to a Python-based reasoning engine with perfect fidelity. These artifacts provide the functional components with a stable blueprint for interpreting user intents.</w:t>
      </w:r>
    </w:p>
    <w:p w14:paraId="2A6E620A"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4. High-Level Component Architecture and Governance Boundaries</w:t>
      </w:r>
    </w:p>
    <w:p w14:paraId="67B3D87F"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lastRenderedPageBreak/>
        <w:t xml:space="preserve">The functional stack is engineered to maintain clear boundaries between unstructured AI reasoning and deterministic enterprise execution. The </w:t>
      </w:r>
      <w:r w:rsidRPr="0036108F">
        <w:rPr>
          <w:rFonts w:ascii="Times New Roman" w:eastAsia="Times New Roman" w:hAnsi="Times New Roman" w:cs="Times New Roman"/>
          <w:b/>
          <w:bCs/>
          <w:kern w:val="0"/>
          <w:lang w:eastAsia="en-GB"/>
          <w14:ligatures w14:val="none"/>
        </w:rPr>
        <w:t>Intent Handler (IH)</w:t>
      </w:r>
      <w:r w:rsidRPr="0036108F">
        <w:rPr>
          <w:rFonts w:ascii="Times New Roman" w:eastAsia="Times New Roman" w:hAnsi="Times New Roman" w:cs="Times New Roman"/>
          <w:kern w:val="0"/>
          <w:lang w:eastAsia="en-GB"/>
          <w14:ligatures w14:val="none"/>
        </w:rPr>
        <w:t xml:space="preserve"> serves as the primary governance gatekeeper.</w:t>
      </w:r>
    </w:p>
    <w:p w14:paraId="7985692F"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The Functional Stack</w:t>
      </w:r>
    </w:p>
    <w:p w14:paraId="0E21233E"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36108F">
        <w:rPr>
          <w:rFonts w:ascii="Times New Roman" w:eastAsia="Times New Roman" w:hAnsi="Times New Roman" w:cs="Times New Roman"/>
          <w:b/>
          <w:bCs/>
          <w:kern w:val="0"/>
          <w:lang w:eastAsia="en-GB"/>
          <w14:ligatures w14:val="none"/>
        </w:rPr>
        <w:t>SmartBar</w:t>
      </w:r>
      <w:proofErr w:type="spellEnd"/>
      <w:r w:rsidRPr="0036108F">
        <w:rPr>
          <w:rFonts w:ascii="Times New Roman" w:eastAsia="Times New Roman" w:hAnsi="Times New Roman" w:cs="Times New Roman"/>
          <w:b/>
          <w:bCs/>
          <w:kern w:val="0"/>
          <w:lang w:eastAsia="en-GB"/>
          <w14:ligatures w14:val="none"/>
        </w:rPr>
        <w:t xml:space="preserve"> UI:</w:t>
      </w:r>
      <w:r w:rsidRPr="0036108F">
        <w:rPr>
          <w:rFonts w:ascii="Times New Roman" w:eastAsia="Times New Roman" w:hAnsi="Times New Roman" w:cs="Times New Roman"/>
          <w:kern w:val="0"/>
          <w:lang w:eastAsia="en-GB"/>
          <w14:ligatures w14:val="none"/>
        </w:rPr>
        <w:t xml:space="preserve"> The conversational interface that captures natural language and provides "Human-in-the-loop" controls, such as slot-filling UI chips and suggestion cards.</w:t>
      </w:r>
    </w:p>
    <w:p w14:paraId="2851BC0B"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Intent Handler (IH):</w:t>
      </w:r>
      <w:r w:rsidRPr="0036108F">
        <w:rPr>
          <w:rFonts w:ascii="Times New Roman" w:eastAsia="Times New Roman" w:hAnsi="Times New Roman" w:cs="Times New Roman"/>
          <w:kern w:val="0"/>
          <w:lang w:eastAsia="en-GB"/>
          <w14:ligatures w14:val="none"/>
        </w:rPr>
        <w:t xml:space="preserve"> A deterministic Spring Boot service. It manages session creation, RBAC checks, policy enforcement, and execution control. No "write" operation occurs without IH approval.</w:t>
      </w:r>
    </w:p>
    <w:p w14:paraId="62A7C683"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Agent Platform (LangGraph4j):</w:t>
      </w:r>
      <w:r w:rsidRPr="0036108F">
        <w:rPr>
          <w:rFonts w:ascii="Times New Roman" w:eastAsia="Times New Roman" w:hAnsi="Times New Roman" w:cs="Times New Roman"/>
          <w:kern w:val="0"/>
          <w:lang w:eastAsia="en-GB"/>
          <w14:ligatures w14:val="none"/>
        </w:rPr>
        <w:t xml:space="preserve"> The orchestration engine responsible for graph execution, reasoning loops, and state propagation.</w:t>
      </w:r>
    </w:p>
    <w:p w14:paraId="59778B98"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The Gateway Layer:</w:t>
      </w:r>
    </w:p>
    <w:p w14:paraId="5A3337A9" w14:textId="77777777" w:rsidR="0036108F" w:rsidRPr="0036108F" w:rsidRDefault="0036108F" w:rsidP="0036108F">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LLM Gateway:</w:t>
      </w:r>
      <w:r w:rsidRPr="0036108F">
        <w:rPr>
          <w:rFonts w:ascii="Times New Roman" w:eastAsia="Times New Roman" w:hAnsi="Times New Roman" w:cs="Times New Roman"/>
          <w:kern w:val="0"/>
          <w:lang w:eastAsia="en-GB"/>
          <w14:ligatures w14:val="none"/>
        </w:rPr>
        <w:t xml:space="preserve"> Provides model abstraction and routing. It focuses on </w:t>
      </w:r>
      <w:r w:rsidRPr="0036108F">
        <w:rPr>
          <w:rFonts w:ascii="Times New Roman" w:eastAsia="Times New Roman" w:hAnsi="Times New Roman" w:cs="Times New Roman"/>
          <w:b/>
          <w:bCs/>
          <w:kern w:val="0"/>
          <w:lang w:eastAsia="en-GB"/>
          <w14:ligatures w14:val="none"/>
        </w:rPr>
        <w:t>Cost Optimization</w:t>
      </w:r>
      <w:r w:rsidRPr="0036108F">
        <w:rPr>
          <w:rFonts w:ascii="Times New Roman" w:eastAsia="Times New Roman" w:hAnsi="Times New Roman" w:cs="Times New Roman"/>
          <w:kern w:val="0"/>
          <w:lang w:eastAsia="en-GB"/>
          <w14:ligatures w14:val="none"/>
        </w:rPr>
        <w:t xml:space="preserve"> (routing to cheaper models where appropriate) and </w:t>
      </w:r>
      <w:r w:rsidRPr="0036108F">
        <w:rPr>
          <w:rFonts w:ascii="Times New Roman" w:eastAsia="Times New Roman" w:hAnsi="Times New Roman" w:cs="Times New Roman"/>
          <w:b/>
          <w:bCs/>
          <w:kern w:val="0"/>
          <w:lang w:eastAsia="en-GB"/>
          <w14:ligatures w14:val="none"/>
        </w:rPr>
        <w:t>Response Normalization</w:t>
      </w:r>
      <w:r w:rsidRPr="0036108F">
        <w:rPr>
          <w:rFonts w:ascii="Times New Roman" w:eastAsia="Times New Roman" w:hAnsi="Times New Roman" w:cs="Times New Roman"/>
          <w:kern w:val="0"/>
          <w:lang w:eastAsia="en-GB"/>
          <w14:ligatures w14:val="none"/>
        </w:rPr>
        <w:t xml:space="preserve"> (standardizing outputs for the UI).</w:t>
      </w:r>
    </w:p>
    <w:p w14:paraId="79EB2861" w14:textId="77777777" w:rsidR="0036108F" w:rsidRPr="0036108F" w:rsidRDefault="0036108F" w:rsidP="0036108F">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MCP Gateway:</w:t>
      </w:r>
      <w:r w:rsidRPr="0036108F">
        <w:rPr>
          <w:rFonts w:ascii="Times New Roman" w:eastAsia="Times New Roman" w:hAnsi="Times New Roman" w:cs="Times New Roman"/>
          <w:kern w:val="0"/>
          <w:lang w:eastAsia="en-GB"/>
          <w14:ligatures w14:val="none"/>
        </w:rPr>
        <w:t xml:space="preserve"> The secure boundary for enterprise APIs. It enforces </w:t>
      </w:r>
      <w:r w:rsidRPr="0036108F">
        <w:rPr>
          <w:rFonts w:ascii="Times New Roman" w:eastAsia="Times New Roman" w:hAnsi="Times New Roman" w:cs="Times New Roman"/>
          <w:b/>
          <w:bCs/>
          <w:kern w:val="0"/>
          <w:lang w:eastAsia="en-GB"/>
          <w14:ligatures w14:val="none"/>
        </w:rPr>
        <w:t>Schema Validation</w:t>
      </w:r>
      <w:r w:rsidRPr="0036108F">
        <w:rPr>
          <w:rFonts w:ascii="Times New Roman" w:eastAsia="Times New Roman" w:hAnsi="Times New Roman" w:cs="Times New Roman"/>
          <w:kern w:val="0"/>
          <w:lang w:eastAsia="en-GB"/>
          <w14:ligatures w14:val="none"/>
        </w:rPr>
        <w:t xml:space="preserve"> and maintains </w:t>
      </w:r>
      <w:r w:rsidRPr="0036108F">
        <w:rPr>
          <w:rFonts w:ascii="Times New Roman" w:eastAsia="Times New Roman" w:hAnsi="Times New Roman" w:cs="Times New Roman"/>
          <w:b/>
          <w:bCs/>
          <w:kern w:val="0"/>
          <w:lang w:eastAsia="en-GB"/>
          <w14:ligatures w14:val="none"/>
        </w:rPr>
        <w:t>Audit Logs</w:t>
      </w:r>
      <w:r w:rsidRPr="0036108F">
        <w:rPr>
          <w:rFonts w:ascii="Times New Roman" w:eastAsia="Times New Roman" w:hAnsi="Times New Roman" w:cs="Times New Roman"/>
          <w:kern w:val="0"/>
          <w:lang w:eastAsia="en-GB"/>
          <w14:ligatures w14:val="none"/>
        </w:rPr>
        <w:t xml:space="preserve"> for every tool invocation, ensuring the agent cannot bypass security protocols.</w:t>
      </w:r>
    </w:p>
    <w:p w14:paraId="4D791736"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AI Proposes:</w:t>
      </w:r>
      <w:r w:rsidRPr="0036108F">
        <w:rPr>
          <w:rFonts w:ascii="Times New Roman" w:eastAsia="Times New Roman" w:hAnsi="Times New Roman" w:cs="Times New Roman"/>
          <w:kern w:val="0"/>
          <w:lang w:eastAsia="en-GB"/>
          <w14:ligatures w14:val="none"/>
        </w:rPr>
        <w:t xml:space="preserve"> Agents suggest actions based on reasoning.</w:t>
      </w:r>
    </w:p>
    <w:p w14:paraId="397C43C4"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Governance Executes:</w:t>
      </w:r>
      <w:r w:rsidRPr="0036108F">
        <w:rPr>
          <w:rFonts w:ascii="Times New Roman" w:eastAsia="Times New Roman" w:hAnsi="Times New Roman" w:cs="Times New Roman"/>
          <w:kern w:val="0"/>
          <w:lang w:eastAsia="en-GB"/>
          <w14:ligatures w14:val="none"/>
        </w:rPr>
        <w:t xml:space="preserve"> Only deterministic services execute write operations.</w:t>
      </w:r>
    </w:p>
    <w:p w14:paraId="6F40852D"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Tool Boundary:</w:t>
      </w:r>
      <w:r w:rsidRPr="0036108F">
        <w:rPr>
          <w:rFonts w:ascii="Times New Roman" w:eastAsia="Times New Roman" w:hAnsi="Times New Roman" w:cs="Times New Roman"/>
          <w:kern w:val="0"/>
          <w:lang w:eastAsia="en-GB"/>
          <w14:ligatures w14:val="none"/>
        </w:rPr>
        <w:t xml:space="preserve"> All APIs are invoked through a controlled MCP boundary; direct calls are prohibited.</w:t>
      </w:r>
    </w:p>
    <w:p w14:paraId="1941FA6C"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Event Durability:</w:t>
      </w:r>
      <w:r w:rsidRPr="0036108F">
        <w:rPr>
          <w:rFonts w:ascii="Times New Roman" w:eastAsia="Times New Roman" w:hAnsi="Times New Roman" w:cs="Times New Roman"/>
          <w:kern w:val="0"/>
          <w:lang w:eastAsia="en-GB"/>
          <w14:ligatures w14:val="none"/>
        </w:rPr>
        <w:t xml:space="preserve"> Long-running tasks are handled asynchronously for system reliability.</w:t>
      </w:r>
    </w:p>
    <w:p w14:paraId="1330CA71" w14:textId="77777777" w:rsidR="0036108F" w:rsidRPr="0036108F" w:rsidRDefault="0036108F" w:rsidP="003610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Auditability:</w:t>
      </w:r>
      <w:r w:rsidRPr="0036108F">
        <w:rPr>
          <w:rFonts w:ascii="Times New Roman" w:eastAsia="Times New Roman" w:hAnsi="Times New Roman" w:cs="Times New Roman"/>
          <w:kern w:val="0"/>
          <w:lang w:eastAsia="en-GB"/>
          <w14:ligatures w14:val="none"/>
        </w:rPr>
        <w:t xml:space="preserve"> Every step in the graph is logged for compliance and transparency.</w:t>
      </w:r>
    </w:p>
    <w:p w14:paraId="51D31649"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These components ensure that the transition from intent to action is governed by deterministic logic, regardless of the complexity of the AI reasoning involved.</w:t>
      </w:r>
    </w:p>
    <w:p w14:paraId="2A0AC211"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5. Operational Patterns: Standardizing Intent Orchestration</w:t>
      </w:r>
    </w:p>
    <w:p w14:paraId="79C3CDF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Standardizing "Graph Execution" patterns allows for the creation of a "Reusable Agent" strategy. Common nodes like </w:t>
      </w:r>
      <w:r w:rsidRPr="0036108F">
        <w:rPr>
          <w:rFonts w:ascii="Courier New" w:eastAsia="Times New Roman" w:hAnsi="Courier New" w:cs="Courier New"/>
          <w:kern w:val="0"/>
          <w:sz w:val="20"/>
          <w:szCs w:val="20"/>
          <w:lang w:eastAsia="en-GB"/>
          <w14:ligatures w14:val="none"/>
        </w:rPr>
        <w:t>A_INTENT</w:t>
      </w:r>
      <w:r w:rsidRPr="0036108F">
        <w:rPr>
          <w:rFonts w:ascii="Times New Roman" w:eastAsia="Times New Roman" w:hAnsi="Times New Roman" w:cs="Times New Roman"/>
          <w:kern w:val="0"/>
          <w:lang w:eastAsia="en-GB"/>
          <w14:ligatures w14:val="none"/>
        </w:rPr>
        <w:t xml:space="preserve"> (extraction) and </w:t>
      </w:r>
      <w:r w:rsidRPr="0036108F">
        <w:rPr>
          <w:rFonts w:ascii="Courier New" w:eastAsia="Times New Roman" w:hAnsi="Courier New" w:cs="Courier New"/>
          <w:kern w:val="0"/>
          <w:sz w:val="20"/>
          <w:szCs w:val="20"/>
          <w:lang w:eastAsia="en-GB"/>
          <w14:ligatures w14:val="none"/>
        </w:rPr>
        <w:t>POLICY_CHECK</w:t>
      </w:r>
      <w:r w:rsidRPr="0036108F">
        <w:rPr>
          <w:rFonts w:ascii="Times New Roman" w:eastAsia="Times New Roman" w:hAnsi="Times New Roman" w:cs="Times New Roman"/>
          <w:kern w:val="0"/>
          <w:lang w:eastAsia="en-GB"/>
          <w14:ligatures w14:val="none"/>
        </w:rPr>
        <w:t xml:space="preserve"> (validation) are reused across diverse business domains, ensuring consistent governance.</w:t>
      </w:r>
    </w:p>
    <w:p w14:paraId="67C10A4A"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Case Study: Leave Application</w:t>
      </w:r>
    </w:p>
    <w:p w14:paraId="73B4B470" w14:textId="77777777" w:rsidR="0036108F" w:rsidRPr="0036108F" w:rsidRDefault="0036108F" w:rsidP="003610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Node Sequence:</w:t>
      </w:r>
      <w:r w:rsidRPr="0036108F">
        <w:rPr>
          <w:rFonts w:ascii="Times New Roman" w:eastAsia="Times New Roman" w:hAnsi="Times New Roman" w:cs="Times New Roman"/>
          <w:kern w:val="0"/>
          <w:lang w:eastAsia="en-GB"/>
          <w14:ligatures w14:val="none"/>
        </w:rPr>
        <w:t xml:space="preserve"> </w:t>
      </w:r>
      <w:r w:rsidRPr="0036108F">
        <w:rPr>
          <w:rFonts w:ascii="Courier New" w:eastAsia="Times New Roman" w:hAnsi="Courier New" w:cs="Courier New"/>
          <w:kern w:val="0"/>
          <w:sz w:val="20"/>
          <w:szCs w:val="20"/>
          <w:lang w:eastAsia="en-GB"/>
          <w14:ligatures w14:val="none"/>
        </w:rPr>
        <w:t>A_INTENT</w:t>
      </w:r>
      <w:r w:rsidRPr="0036108F">
        <w:rPr>
          <w:rFonts w:ascii="Times New Roman" w:eastAsia="Times New Roman" w:hAnsi="Times New Roman" w:cs="Times New Roman"/>
          <w:kern w:val="0"/>
          <w:lang w:eastAsia="en-GB"/>
          <w14:ligatures w14:val="none"/>
        </w:rPr>
        <w:t xml:space="preserve"> (extract dates) -&gt; </w:t>
      </w:r>
      <w:r w:rsidRPr="0036108F">
        <w:rPr>
          <w:rFonts w:ascii="Courier New" w:eastAsia="Times New Roman" w:hAnsi="Courier New" w:cs="Courier New"/>
          <w:kern w:val="0"/>
          <w:sz w:val="20"/>
          <w:szCs w:val="20"/>
          <w:lang w:eastAsia="en-GB"/>
          <w14:ligatures w14:val="none"/>
        </w:rPr>
        <w:t>ENRICH_HRIS</w:t>
      </w:r>
      <w:r w:rsidRPr="0036108F">
        <w:rPr>
          <w:rFonts w:ascii="Times New Roman" w:eastAsia="Times New Roman" w:hAnsi="Times New Roman" w:cs="Times New Roman"/>
          <w:kern w:val="0"/>
          <w:lang w:eastAsia="en-GB"/>
          <w14:ligatures w14:val="none"/>
        </w:rPr>
        <w:t xml:space="preserve"> (fetch </w:t>
      </w:r>
      <w:proofErr w:type="spellStart"/>
      <w:r w:rsidRPr="0036108F">
        <w:rPr>
          <w:rFonts w:ascii="Courier New" w:eastAsia="Times New Roman" w:hAnsi="Courier New" w:cs="Courier New"/>
          <w:kern w:val="0"/>
          <w:sz w:val="20"/>
          <w:szCs w:val="20"/>
          <w:lang w:eastAsia="en-GB"/>
          <w14:ligatures w14:val="none"/>
        </w:rPr>
        <w:t>hris.leave.balance</w:t>
      </w:r>
      <w:proofErr w:type="spellEnd"/>
      <w:r w:rsidRPr="0036108F">
        <w:rPr>
          <w:rFonts w:ascii="Times New Roman" w:eastAsia="Times New Roman" w:hAnsi="Times New Roman" w:cs="Times New Roman"/>
          <w:kern w:val="0"/>
          <w:lang w:eastAsia="en-GB"/>
          <w14:ligatures w14:val="none"/>
        </w:rPr>
        <w:t xml:space="preserve">) -&gt; </w:t>
      </w:r>
      <w:r w:rsidRPr="0036108F">
        <w:rPr>
          <w:rFonts w:ascii="Courier New" w:eastAsia="Times New Roman" w:hAnsi="Courier New" w:cs="Courier New"/>
          <w:kern w:val="0"/>
          <w:sz w:val="20"/>
          <w:szCs w:val="20"/>
          <w:lang w:eastAsia="en-GB"/>
          <w14:ligatures w14:val="none"/>
        </w:rPr>
        <w:t>POLICY_CHECK</w:t>
      </w:r>
      <w:r w:rsidRPr="0036108F">
        <w:rPr>
          <w:rFonts w:ascii="Times New Roman" w:eastAsia="Times New Roman" w:hAnsi="Times New Roman" w:cs="Times New Roman"/>
          <w:kern w:val="0"/>
          <w:lang w:eastAsia="en-GB"/>
          <w14:ligatures w14:val="none"/>
        </w:rPr>
        <w:t xml:space="preserve"> (validate eligibility) -&gt; </w:t>
      </w:r>
      <w:r w:rsidRPr="0036108F">
        <w:rPr>
          <w:rFonts w:ascii="Courier New" w:eastAsia="Times New Roman" w:hAnsi="Courier New" w:cs="Courier New"/>
          <w:kern w:val="0"/>
          <w:sz w:val="20"/>
          <w:szCs w:val="20"/>
          <w:lang w:eastAsia="en-GB"/>
          <w14:ligatures w14:val="none"/>
        </w:rPr>
        <w:t>SUGGEST_OR_COMPLETE</w:t>
      </w:r>
      <w:r w:rsidRPr="0036108F">
        <w:rPr>
          <w:rFonts w:ascii="Times New Roman" w:eastAsia="Times New Roman" w:hAnsi="Times New Roman" w:cs="Times New Roman"/>
          <w:kern w:val="0"/>
          <w:lang w:eastAsia="en-GB"/>
          <w14:ligatures w14:val="none"/>
        </w:rPr>
        <w:t>.</w:t>
      </w:r>
    </w:p>
    <w:p w14:paraId="767B1AAE" w14:textId="77777777" w:rsidR="0036108F" w:rsidRPr="0036108F" w:rsidRDefault="0036108F" w:rsidP="003610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NBA (Next Best Action) Engine:</w:t>
      </w:r>
      <w:r w:rsidRPr="0036108F">
        <w:rPr>
          <w:rFonts w:ascii="Times New Roman" w:eastAsia="Times New Roman" w:hAnsi="Times New Roman" w:cs="Times New Roman"/>
          <w:kern w:val="0"/>
          <w:lang w:eastAsia="en-GB"/>
          <w14:ligatures w14:val="none"/>
        </w:rPr>
        <w:t xml:space="preserve"> If a policy check identifies an insufficient balance, the system triggers the Suggestion Engine to propose an "NBA," such as splitting the leave or suggesting unpaid dates.</w:t>
      </w:r>
    </w:p>
    <w:p w14:paraId="6BBB77EC" w14:textId="77777777" w:rsidR="0036108F" w:rsidRPr="0036108F" w:rsidRDefault="0036108F" w:rsidP="003610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lastRenderedPageBreak/>
        <w:t>Deterministic Governance:</w:t>
      </w:r>
      <w:r w:rsidRPr="0036108F">
        <w:rPr>
          <w:rFonts w:ascii="Times New Roman" w:eastAsia="Times New Roman" w:hAnsi="Times New Roman" w:cs="Times New Roman"/>
          <w:kern w:val="0"/>
          <w:lang w:eastAsia="en-GB"/>
          <w14:ligatures w14:val="none"/>
        </w:rPr>
        <w:t xml:space="preserve"> The Intent Handler gates the final submission to the workflow service, ensuring the AI only proposes the plan while the service executes it.</w:t>
      </w:r>
    </w:p>
    <w:p w14:paraId="11F49C89"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Case Study: Claim Submission</w:t>
      </w:r>
    </w:p>
    <w:p w14:paraId="7025FAB9" w14:textId="77777777" w:rsidR="0036108F" w:rsidRPr="0036108F" w:rsidRDefault="0036108F" w:rsidP="0036108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Node Sequence:</w:t>
      </w:r>
      <w:r w:rsidRPr="0036108F">
        <w:rPr>
          <w:rFonts w:ascii="Times New Roman" w:eastAsia="Times New Roman" w:hAnsi="Times New Roman" w:cs="Times New Roman"/>
          <w:kern w:val="0"/>
          <w:lang w:eastAsia="en-GB"/>
          <w14:ligatures w14:val="none"/>
        </w:rPr>
        <w:t xml:space="preserve"> </w:t>
      </w:r>
      <w:r w:rsidRPr="0036108F">
        <w:rPr>
          <w:rFonts w:ascii="Courier New" w:eastAsia="Times New Roman" w:hAnsi="Courier New" w:cs="Courier New"/>
          <w:kern w:val="0"/>
          <w:sz w:val="20"/>
          <w:szCs w:val="20"/>
          <w:lang w:eastAsia="en-GB"/>
          <w14:ligatures w14:val="none"/>
        </w:rPr>
        <w:t>A_INTENT</w:t>
      </w:r>
      <w:r w:rsidRPr="0036108F">
        <w:rPr>
          <w:rFonts w:ascii="Times New Roman" w:eastAsia="Times New Roman" w:hAnsi="Times New Roman" w:cs="Times New Roman"/>
          <w:kern w:val="0"/>
          <w:lang w:eastAsia="en-GB"/>
          <w14:ligatures w14:val="none"/>
        </w:rPr>
        <w:t xml:space="preserve"> -&gt; </w:t>
      </w:r>
      <w:r w:rsidRPr="0036108F">
        <w:rPr>
          <w:rFonts w:ascii="Courier New" w:eastAsia="Times New Roman" w:hAnsi="Courier New" w:cs="Courier New"/>
          <w:kern w:val="0"/>
          <w:sz w:val="20"/>
          <w:szCs w:val="20"/>
          <w:lang w:eastAsia="en-GB"/>
          <w14:ligatures w14:val="none"/>
        </w:rPr>
        <w:t>PARSE_RECEIPT</w:t>
      </w:r>
      <w:r w:rsidRPr="0036108F">
        <w:rPr>
          <w:rFonts w:ascii="Times New Roman" w:eastAsia="Times New Roman" w:hAnsi="Times New Roman" w:cs="Times New Roman"/>
          <w:kern w:val="0"/>
          <w:lang w:eastAsia="en-GB"/>
          <w14:ligatures w14:val="none"/>
        </w:rPr>
        <w:t xml:space="preserve"> -&gt; </w:t>
      </w:r>
      <w:r w:rsidRPr="0036108F">
        <w:rPr>
          <w:rFonts w:ascii="Courier New" w:eastAsia="Times New Roman" w:hAnsi="Courier New" w:cs="Courier New"/>
          <w:kern w:val="0"/>
          <w:sz w:val="20"/>
          <w:szCs w:val="20"/>
          <w:lang w:eastAsia="en-GB"/>
          <w14:ligatures w14:val="none"/>
        </w:rPr>
        <w:t>ENRICH_CLAIMS</w:t>
      </w:r>
      <w:r w:rsidRPr="0036108F">
        <w:rPr>
          <w:rFonts w:ascii="Times New Roman" w:eastAsia="Times New Roman" w:hAnsi="Times New Roman" w:cs="Times New Roman"/>
          <w:kern w:val="0"/>
          <w:lang w:eastAsia="en-GB"/>
          <w14:ligatures w14:val="none"/>
        </w:rPr>
        <w:t xml:space="preserve"> -&gt; </w:t>
      </w:r>
      <w:r w:rsidRPr="0036108F">
        <w:rPr>
          <w:rFonts w:ascii="Courier New" w:eastAsia="Times New Roman" w:hAnsi="Courier New" w:cs="Courier New"/>
          <w:kern w:val="0"/>
          <w:sz w:val="20"/>
          <w:szCs w:val="20"/>
          <w:lang w:eastAsia="en-GB"/>
          <w14:ligatures w14:val="none"/>
        </w:rPr>
        <w:t>POLICY_CHECK</w:t>
      </w:r>
      <w:r w:rsidRPr="0036108F">
        <w:rPr>
          <w:rFonts w:ascii="Times New Roman" w:eastAsia="Times New Roman" w:hAnsi="Times New Roman" w:cs="Times New Roman"/>
          <w:kern w:val="0"/>
          <w:lang w:eastAsia="en-GB"/>
          <w14:ligatures w14:val="none"/>
        </w:rPr>
        <w:t>.</w:t>
      </w:r>
    </w:p>
    <w:p w14:paraId="7C108BEE" w14:textId="77777777" w:rsidR="0036108F" w:rsidRPr="0036108F" w:rsidRDefault="0036108F" w:rsidP="0036108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Modular Reasoning:</w:t>
      </w:r>
      <w:r w:rsidRPr="0036108F">
        <w:rPr>
          <w:rFonts w:ascii="Times New Roman" w:eastAsia="Times New Roman" w:hAnsi="Times New Roman" w:cs="Times New Roman"/>
          <w:kern w:val="0"/>
          <w:lang w:eastAsia="en-GB"/>
          <w14:ligatures w14:val="none"/>
        </w:rPr>
        <w:t xml:space="preserve"> This flow employs a specialized </w:t>
      </w:r>
      <w:proofErr w:type="spellStart"/>
      <w:r w:rsidRPr="0036108F">
        <w:rPr>
          <w:rFonts w:ascii="Times New Roman" w:eastAsia="Times New Roman" w:hAnsi="Times New Roman" w:cs="Times New Roman"/>
          <w:b/>
          <w:bCs/>
          <w:kern w:val="0"/>
          <w:lang w:eastAsia="en-GB"/>
          <w14:ligatures w14:val="none"/>
        </w:rPr>
        <w:t>DocAI</w:t>
      </w:r>
      <w:proofErr w:type="spellEnd"/>
      <w:r w:rsidRPr="0036108F">
        <w:rPr>
          <w:rFonts w:ascii="Times New Roman" w:eastAsia="Times New Roman" w:hAnsi="Times New Roman" w:cs="Times New Roman"/>
          <w:b/>
          <w:bCs/>
          <w:kern w:val="0"/>
          <w:lang w:eastAsia="en-GB"/>
          <w14:ligatures w14:val="none"/>
        </w:rPr>
        <w:t xml:space="preserve"> Agent</w:t>
      </w:r>
      <w:r w:rsidRPr="0036108F">
        <w:rPr>
          <w:rFonts w:ascii="Times New Roman" w:eastAsia="Times New Roman" w:hAnsi="Times New Roman" w:cs="Times New Roman"/>
          <w:kern w:val="0"/>
          <w:lang w:eastAsia="en-GB"/>
          <w14:ligatures w14:val="none"/>
        </w:rPr>
        <w:t xml:space="preserve"> using the </w:t>
      </w:r>
      <w:proofErr w:type="spellStart"/>
      <w:r w:rsidRPr="0036108F">
        <w:rPr>
          <w:rFonts w:ascii="Courier New" w:eastAsia="Times New Roman" w:hAnsi="Courier New" w:cs="Courier New"/>
          <w:kern w:val="0"/>
          <w:sz w:val="20"/>
          <w:szCs w:val="20"/>
          <w:lang w:eastAsia="en-GB"/>
          <w14:ligatures w14:val="none"/>
        </w:rPr>
        <w:t>docai.receipt.extract</w:t>
      </w:r>
      <w:proofErr w:type="spellEnd"/>
      <w:r w:rsidRPr="0036108F">
        <w:rPr>
          <w:rFonts w:ascii="Times New Roman" w:eastAsia="Times New Roman" w:hAnsi="Times New Roman" w:cs="Times New Roman"/>
          <w:kern w:val="0"/>
          <w:lang w:eastAsia="en-GB"/>
          <w14:ligatures w14:val="none"/>
        </w:rPr>
        <w:t xml:space="preserve"> tool to parse provider, amount, and date from PDF receipts.</w:t>
      </w:r>
    </w:p>
    <w:p w14:paraId="21D52C10" w14:textId="77777777" w:rsidR="0036108F" w:rsidRPr="0036108F" w:rsidRDefault="0036108F" w:rsidP="0036108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NBA Logic:</w:t>
      </w:r>
      <w:r w:rsidRPr="0036108F">
        <w:rPr>
          <w:rFonts w:ascii="Times New Roman" w:eastAsia="Times New Roman" w:hAnsi="Times New Roman" w:cs="Times New Roman"/>
          <w:kern w:val="0"/>
          <w:lang w:eastAsia="en-GB"/>
          <w14:ligatures w14:val="none"/>
        </w:rPr>
        <w:t xml:space="preserve"> If a claim exceeds a cap, the engine suggests a partial claim, guiding the user toward a valid outcome.</w:t>
      </w:r>
    </w:p>
    <w:p w14:paraId="0A082C5F"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By reusing nodes like </w:t>
      </w:r>
      <w:r w:rsidRPr="0036108F">
        <w:rPr>
          <w:rFonts w:ascii="Courier New" w:eastAsia="Times New Roman" w:hAnsi="Courier New" w:cs="Courier New"/>
          <w:kern w:val="0"/>
          <w:sz w:val="20"/>
          <w:szCs w:val="20"/>
          <w:lang w:eastAsia="en-GB"/>
          <w14:ligatures w14:val="none"/>
        </w:rPr>
        <w:t>A_INTENT</w:t>
      </w:r>
      <w:r w:rsidRPr="0036108F">
        <w:rPr>
          <w:rFonts w:ascii="Times New Roman" w:eastAsia="Times New Roman" w:hAnsi="Times New Roman" w:cs="Times New Roman"/>
          <w:kern w:val="0"/>
          <w:lang w:eastAsia="en-GB"/>
          <w14:ligatures w14:val="none"/>
        </w:rPr>
        <w:t xml:space="preserve"> across both Leave and Claims, we demonstrate the efficiency of a config-driven architecture where specialized capabilities (like OCR) are simply modular plugins to a standard orchestration pattern.</w:t>
      </w:r>
    </w:p>
    <w:p w14:paraId="769AE1B8"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6. Migration Strategy: From Legacy to Portable AI</w:t>
      </w:r>
    </w:p>
    <w:p w14:paraId="2ED24C4D"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We avoid "Big Bang" migrations in </w:t>
      </w:r>
      <w:proofErr w:type="spellStart"/>
      <w:r w:rsidRPr="0036108F">
        <w:rPr>
          <w:rFonts w:ascii="Times New Roman" w:eastAsia="Times New Roman" w:hAnsi="Times New Roman" w:cs="Times New Roman"/>
          <w:kern w:val="0"/>
          <w:lang w:eastAsia="en-GB"/>
          <w14:ligatures w14:val="none"/>
        </w:rPr>
        <w:t>favor</w:t>
      </w:r>
      <w:proofErr w:type="spellEnd"/>
      <w:r w:rsidRPr="0036108F">
        <w:rPr>
          <w:rFonts w:ascii="Times New Roman" w:eastAsia="Times New Roman" w:hAnsi="Times New Roman" w:cs="Times New Roman"/>
          <w:kern w:val="0"/>
          <w:lang w:eastAsia="en-GB"/>
          <w14:ligatures w14:val="none"/>
        </w:rPr>
        <w:t xml:space="preserve"> of a "Hybrid" evolution. This ensures that the enterprise maintains stable governance while incrementally adopting advanced AI runtimes.</w:t>
      </w:r>
    </w:p>
    <w:p w14:paraId="54C5F492"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Migration Phase Analysis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48"/>
        <w:gridCol w:w="1137"/>
        <w:gridCol w:w="5325"/>
      </w:tblGrid>
      <w:tr w:rsidR="0036108F" w:rsidRPr="0036108F" w14:paraId="7FA8A628"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494473A2"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Migration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4EB96"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Effort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EBC3F"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Component Impact</w:t>
            </w:r>
          </w:p>
        </w:tc>
      </w:tr>
      <w:tr w:rsidR="0036108F" w:rsidRPr="0036108F" w14:paraId="27498090"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03FB549B"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Java to Hybrid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96C63"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0070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Java retains governance; Python introduced for reasoning/RAG.</w:t>
            </w:r>
          </w:p>
        </w:tc>
      </w:tr>
      <w:tr w:rsidR="0036108F" w:rsidRPr="0036108F" w14:paraId="7DA969C0"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49D5EDED"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Hybrid to Python Dominant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5803B"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516D2"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Orchestration shifts to Python; State remains shared via Schema.</w:t>
            </w:r>
          </w:p>
        </w:tc>
      </w:tr>
      <w:tr w:rsidR="0036108F" w:rsidRPr="0036108F" w14:paraId="5E4BB8D6"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674AE76E"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On-prem to Cloud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D4A6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BB998"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Transition to cloud-native runtimes (e.g., AWS Bedrock).</w:t>
            </w:r>
          </w:p>
        </w:tc>
      </w:tr>
    </w:tbl>
    <w:p w14:paraId="19FEC190"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Phase 1: The Hybrid Approach</w:t>
      </w:r>
    </w:p>
    <w:p w14:paraId="5D54604B"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In Phase 1, the architecture utilizes a dual-engine approach to maximize architectural gravitas. </w:t>
      </w:r>
      <w:r w:rsidRPr="0036108F">
        <w:rPr>
          <w:rFonts w:ascii="Times New Roman" w:eastAsia="Times New Roman" w:hAnsi="Times New Roman" w:cs="Times New Roman"/>
          <w:b/>
          <w:bCs/>
          <w:kern w:val="0"/>
          <w:lang w:eastAsia="en-GB"/>
          <w14:ligatures w14:val="none"/>
        </w:rPr>
        <w:t>Java</w:t>
      </w:r>
      <w:r w:rsidRPr="0036108F">
        <w:rPr>
          <w:rFonts w:ascii="Times New Roman" w:eastAsia="Times New Roman" w:hAnsi="Times New Roman" w:cs="Times New Roman"/>
          <w:kern w:val="0"/>
          <w:lang w:eastAsia="en-GB"/>
          <w14:ligatures w14:val="none"/>
        </w:rPr>
        <w:t xml:space="preserve"> remains the custodian of </w:t>
      </w:r>
      <w:r w:rsidRPr="0036108F">
        <w:rPr>
          <w:rFonts w:ascii="Times New Roman" w:eastAsia="Times New Roman" w:hAnsi="Times New Roman" w:cs="Times New Roman"/>
          <w:b/>
          <w:bCs/>
          <w:kern w:val="0"/>
          <w:lang w:eastAsia="en-GB"/>
          <w14:ligatures w14:val="none"/>
        </w:rPr>
        <w:t>"high-stakes execution,"</w:t>
      </w:r>
      <w:r w:rsidRPr="0036108F">
        <w:rPr>
          <w:rFonts w:ascii="Times New Roman" w:eastAsia="Times New Roman" w:hAnsi="Times New Roman" w:cs="Times New Roman"/>
          <w:kern w:val="0"/>
          <w:lang w:eastAsia="en-GB"/>
          <w14:ligatures w14:val="none"/>
        </w:rPr>
        <w:t xml:space="preserve"> handling governance, approvals, and permission checks. Simultaneously, </w:t>
      </w:r>
      <w:r w:rsidRPr="0036108F">
        <w:rPr>
          <w:rFonts w:ascii="Times New Roman" w:eastAsia="Times New Roman" w:hAnsi="Times New Roman" w:cs="Times New Roman"/>
          <w:b/>
          <w:bCs/>
          <w:kern w:val="0"/>
          <w:lang w:eastAsia="en-GB"/>
          <w14:ligatures w14:val="none"/>
        </w:rPr>
        <w:t>Python</w:t>
      </w:r>
      <w:r w:rsidRPr="0036108F">
        <w:rPr>
          <w:rFonts w:ascii="Times New Roman" w:eastAsia="Times New Roman" w:hAnsi="Times New Roman" w:cs="Times New Roman"/>
          <w:kern w:val="0"/>
          <w:lang w:eastAsia="en-GB"/>
          <w14:ligatures w14:val="none"/>
        </w:rPr>
        <w:t xml:space="preserve"> handles </w:t>
      </w:r>
      <w:r w:rsidRPr="0036108F">
        <w:rPr>
          <w:rFonts w:ascii="Times New Roman" w:eastAsia="Times New Roman" w:hAnsi="Times New Roman" w:cs="Times New Roman"/>
          <w:b/>
          <w:bCs/>
          <w:kern w:val="0"/>
          <w:lang w:eastAsia="en-GB"/>
          <w14:ligatures w14:val="none"/>
        </w:rPr>
        <w:t>"unstructured reasoning,"</w:t>
      </w:r>
      <w:r w:rsidRPr="0036108F">
        <w:rPr>
          <w:rFonts w:ascii="Times New Roman" w:eastAsia="Times New Roman" w:hAnsi="Times New Roman" w:cs="Times New Roman"/>
          <w:kern w:val="0"/>
          <w:lang w:eastAsia="en-GB"/>
          <w14:ligatures w14:val="none"/>
        </w:rPr>
        <w:t xml:space="preserve"> intensive parsing, and RAG.</w:t>
      </w:r>
    </w:p>
    <w:p w14:paraId="08FEF2D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To ensure continuity, we strictly maintain the </w:t>
      </w:r>
      <w:r w:rsidRPr="0036108F">
        <w:rPr>
          <w:rFonts w:ascii="Times New Roman" w:eastAsia="Times New Roman" w:hAnsi="Times New Roman" w:cs="Times New Roman"/>
          <w:b/>
          <w:bCs/>
          <w:kern w:val="0"/>
          <w:lang w:eastAsia="en-GB"/>
          <w14:ligatures w14:val="none"/>
        </w:rPr>
        <w:t>"</w:t>
      </w:r>
      <w:proofErr w:type="spellStart"/>
      <w:r w:rsidRPr="0036108F">
        <w:rPr>
          <w:rFonts w:ascii="Times New Roman" w:eastAsia="Times New Roman" w:hAnsi="Times New Roman" w:cs="Times New Roman"/>
          <w:b/>
          <w:bCs/>
          <w:kern w:val="0"/>
          <w:lang w:eastAsia="en-GB"/>
          <w14:ligatures w14:val="none"/>
        </w:rPr>
        <w:t>Immutables</w:t>
      </w:r>
      <w:proofErr w:type="spellEnd"/>
      <w:r w:rsidRPr="0036108F">
        <w:rPr>
          <w:rFonts w:ascii="Times New Roman" w:eastAsia="Times New Roman" w:hAnsi="Times New Roman" w:cs="Times New Roman"/>
          <w:b/>
          <w:bCs/>
          <w:kern w:val="0"/>
          <w:lang w:eastAsia="en-GB"/>
          <w14:ligatures w14:val="none"/>
        </w:rPr>
        <w:t>"</w:t>
      </w:r>
      <w:r w:rsidRPr="0036108F">
        <w:rPr>
          <w:rFonts w:ascii="Times New Roman" w:eastAsia="Times New Roman" w:hAnsi="Times New Roman" w:cs="Times New Roman"/>
          <w:kern w:val="0"/>
          <w:lang w:eastAsia="en-GB"/>
          <w14:ligatures w14:val="none"/>
        </w:rPr>
        <w:t>: the Graph YAML, Tool Registry, and State Schema. These serve as the "Common Language" of the platform, preventing system breakage even as the underlying runtime is swapped or upgraded.</w:t>
      </w:r>
    </w:p>
    <w:p w14:paraId="37B60009" w14:textId="77777777" w:rsidR="0036108F" w:rsidRPr="0036108F" w:rsidRDefault="0036108F" w:rsidP="003610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6108F">
        <w:rPr>
          <w:rFonts w:ascii="Times New Roman" w:eastAsia="Times New Roman" w:hAnsi="Times New Roman" w:cs="Times New Roman"/>
          <w:b/>
          <w:bCs/>
          <w:kern w:val="0"/>
          <w:sz w:val="36"/>
          <w:szCs w:val="36"/>
          <w:lang w:eastAsia="en-GB"/>
          <w14:ligatures w14:val="none"/>
        </w:rPr>
        <w:t>7. Strategic Conclusion: Future-Proofing the Enterprise AI Stack</w:t>
      </w:r>
    </w:p>
    <w:p w14:paraId="5C2C376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lastRenderedPageBreak/>
        <w:t>This config-driven architecture resolves the inherent tension between rapid AI innovation and rigid enterprise compliance. By treating workflows as data and enforcing a strict "Tool Boundary," we have created a platform that is both agile and "Bank-Grade."</w:t>
      </w:r>
    </w:p>
    <w:p w14:paraId="27556379" w14:textId="77777777" w:rsidR="0036108F" w:rsidRPr="0036108F" w:rsidRDefault="0036108F" w:rsidP="0036108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6108F">
        <w:rPr>
          <w:rFonts w:ascii="Times New Roman" w:eastAsia="Times New Roman" w:hAnsi="Times New Roman" w:cs="Times New Roman"/>
          <w:b/>
          <w:bCs/>
          <w:kern w:val="0"/>
          <w:sz w:val="27"/>
          <w:szCs w:val="27"/>
          <w:lang w:eastAsia="en-GB"/>
          <w14:ligatures w14:val="none"/>
        </w:rPr>
        <w:t>Lock-in Avoidance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8"/>
        <w:gridCol w:w="7412"/>
      </w:tblGrid>
      <w:tr w:rsidR="0036108F" w:rsidRPr="0036108F" w14:paraId="344A4097"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11D5EDA1"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Risk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9F6B4"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Mitigation Strategy</w:t>
            </w:r>
          </w:p>
        </w:tc>
      </w:tr>
      <w:tr w:rsidR="0036108F" w:rsidRPr="0036108F" w14:paraId="4DD38352"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1F9CBB99"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Language Lock-in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58EC8"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Config Graphs:</w:t>
            </w:r>
            <w:r w:rsidRPr="0036108F">
              <w:rPr>
                <w:rFonts w:ascii="Times New Roman" w:eastAsia="Times New Roman" w:hAnsi="Times New Roman" w:cs="Times New Roman"/>
                <w:kern w:val="0"/>
                <w:lang w:eastAsia="en-GB"/>
                <w14:ligatures w14:val="none"/>
              </w:rPr>
              <w:t xml:space="preserve"> Allows switching between Java and Python runtimes without rewriting logic.</w:t>
            </w:r>
          </w:p>
        </w:tc>
      </w:tr>
      <w:tr w:rsidR="0036108F" w:rsidRPr="0036108F" w14:paraId="3656A6AC"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4661B383"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Vendor Lock-in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07073"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MCP Tool Layer:</w:t>
            </w:r>
            <w:r w:rsidRPr="0036108F">
              <w:rPr>
                <w:rFonts w:ascii="Times New Roman" w:eastAsia="Times New Roman" w:hAnsi="Times New Roman" w:cs="Times New Roman"/>
                <w:kern w:val="0"/>
                <w:lang w:eastAsia="en-GB"/>
                <w14:ligatures w14:val="none"/>
              </w:rPr>
              <w:t xml:space="preserve"> Standardizes how enterprise APIs are consumed via stable contracts.</w:t>
            </w:r>
          </w:p>
        </w:tc>
      </w:tr>
      <w:tr w:rsidR="0036108F" w:rsidRPr="0036108F" w14:paraId="275F23F2" w14:textId="77777777" w:rsidTr="0036108F">
        <w:tc>
          <w:tcPr>
            <w:tcW w:w="0" w:type="auto"/>
            <w:tcBorders>
              <w:top w:val="outset" w:sz="6" w:space="0" w:color="auto"/>
              <w:left w:val="outset" w:sz="6" w:space="0" w:color="auto"/>
              <w:bottom w:val="outset" w:sz="6" w:space="0" w:color="auto"/>
              <w:right w:val="outset" w:sz="6" w:space="0" w:color="auto"/>
            </w:tcBorders>
            <w:vAlign w:val="center"/>
            <w:hideMark/>
          </w:tcPr>
          <w:p w14:paraId="3544E57C"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Cloud Lock-in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48716"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b/>
                <w:bCs/>
                <w:kern w:val="0"/>
                <w:lang w:eastAsia="en-GB"/>
                <w14:ligatures w14:val="none"/>
              </w:rPr>
              <w:t>Portable Runtimes:</w:t>
            </w:r>
            <w:r w:rsidRPr="0036108F">
              <w:rPr>
                <w:rFonts w:ascii="Times New Roman" w:eastAsia="Times New Roman" w:hAnsi="Times New Roman" w:cs="Times New Roman"/>
                <w:kern w:val="0"/>
                <w:lang w:eastAsia="en-GB"/>
                <w14:ligatures w14:val="none"/>
              </w:rPr>
              <w:t xml:space="preserve"> Enables deployment on any cloud or on-premises environment via containerized runtimes.</w:t>
            </w:r>
          </w:p>
        </w:tc>
      </w:tr>
    </w:tbl>
    <w:p w14:paraId="07F2C34C" w14:textId="77777777" w:rsidR="0036108F" w:rsidRPr="0036108F" w:rsidRDefault="0036108F" w:rsidP="0036108F">
      <w:pPr>
        <w:spacing w:before="100" w:beforeAutospacing="1" w:after="100" w:afterAutospacing="1"/>
        <w:rPr>
          <w:rFonts w:ascii="Times New Roman" w:eastAsia="Times New Roman" w:hAnsi="Times New Roman" w:cs="Times New Roman"/>
          <w:kern w:val="0"/>
          <w:lang w:eastAsia="en-GB"/>
          <w14:ligatures w14:val="none"/>
        </w:rPr>
      </w:pPr>
      <w:r w:rsidRPr="0036108F">
        <w:rPr>
          <w:rFonts w:ascii="Times New Roman" w:eastAsia="Times New Roman" w:hAnsi="Times New Roman" w:cs="Times New Roman"/>
          <w:kern w:val="0"/>
          <w:lang w:eastAsia="en-GB"/>
          <w14:ligatures w14:val="none"/>
        </w:rPr>
        <w:t xml:space="preserve">This platform is not merely an experimental AI project; it represents the </w:t>
      </w:r>
      <w:r w:rsidRPr="0036108F">
        <w:rPr>
          <w:rFonts w:ascii="Times New Roman" w:eastAsia="Times New Roman" w:hAnsi="Times New Roman" w:cs="Times New Roman"/>
          <w:b/>
          <w:bCs/>
          <w:kern w:val="0"/>
          <w:lang w:eastAsia="en-GB"/>
          <w14:ligatures w14:val="none"/>
        </w:rPr>
        <w:t>new standard for enterprise middleware.</w:t>
      </w:r>
      <w:r w:rsidRPr="0036108F">
        <w:rPr>
          <w:rFonts w:ascii="Times New Roman" w:eastAsia="Times New Roman" w:hAnsi="Times New Roman" w:cs="Times New Roman"/>
          <w:kern w:val="0"/>
          <w:lang w:eastAsia="en-GB"/>
          <w14:ligatures w14:val="none"/>
        </w:rPr>
        <w:t xml:space="preserve"> It provides the enterprise with the ability to support sophisticated, "Intent-First" workflows while maintaining an uncompromising security posture, ready for the next generation of agentic enterprise intelligence.</w:t>
      </w:r>
    </w:p>
    <w:p w14:paraId="309842ED" w14:textId="77777777" w:rsidR="0036108F" w:rsidRDefault="0036108F"/>
    <w:sectPr w:rsidR="00361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697A"/>
    <w:multiLevelType w:val="multilevel"/>
    <w:tmpl w:val="6A56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4806"/>
    <w:multiLevelType w:val="multilevel"/>
    <w:tmpl w:val="849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D07BA"/>
    <w:multiLevelType w:val="multilevel"/>
    <w:tmpl w:val="2106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F4620"/>
    <w:multiLevelType w:val="multilevel"/>
    <w:tmpl w:val="FCE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55F52"/>
    <w:multiLevelType w:val="multilevel"/>
    <w:tmpl w:val="4FD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73719">
    <w:abstractNumId w:val="1"/>
  </w:num>
  <w:num w:numId="2" w16cid:durableId="448747880">
    <w:abstractNumId w:val="2"/>
  </w:num>
  <w:num w:numId="3" w16cid:durableId="1149664270">
    <w:abstractNumId w:val="0"/>
  </w:num>
  <w:num w:numId="4" w16cid:durableId="1812595058">
    <w:abstractNumId w:val="3"/>
  </w:num>
  <w:num w:numId="5" w16cid:durableId="291911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8F"/>
    <w:rsid w:val="0036108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3D43207"/>
  <w15:chartTrackingRefBased/>
  <w15:docId w15:val="{B13D5B88-7972-1C42-BCFA-CF19D4FA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108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6108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6108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08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6108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6108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6108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610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03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1407</Words>
  <Characters>8702</Characters>
  <Application>Microsoft Office Word</Application>
  <DocSecurity>0</DocSecurity>
  <Lines>543</Lines>
  <Paragraphs>288</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2026-03-04T23:24:00Z</dcterms:created>
  <dcterms:modified xsi:type="dcterms:W3CDTF">2026-03-04T23:24:00Z</dcterms:modified>
</cp:coreProperties>
</file>