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it-IT"/>
        </w:rPr>
      </w:pPr>
      <w:r>
        <w:rPr>
          <w:lang w:val="it-IT"/>
        </w:rPr>
        <w:t xml:space="preserve">Confro</w:t>
      </w:r>
      <w:r>
        <w:rPr>
          <w:lang w:val="it-IT"/>
        </w:rPr>
        <w:t xml:space="preserve">nto tra valutazione di mercato ed età.</w:t>
        <w:br/>
        <w:t xml:space="preserve">La cosa potenzialmente interessante è che ci si aspetta sì una curva a campana ma giocatori giovani con molto potenziale possono avere valutazioni molto più alte di giocatori tra i 24-31 anni più bravi.</w:t>
        <w:br/>
        <w:br/>
        <w:t xml:space="preserve">link kaggle: </w:t>
      </w:r>
      <w:hyperlink r:id="rId8" w:tooltip="https://www.kaggle.com/datasets/davidcariboo/player-scores/data" w:history="1">
        <w:r>
          <w:rPr>
            <w:rStyle w:val="872"/>
            <w:rFonts w:ascii="Arial" w:hAnsi="Arial" w:eastAsia="Arial" w:cs="Arial"/>
            <w:color w:val="000000"/>
            <w:sz w:val="24"/>
            <w:u w:val="single"/>
          </w:rPr>
          <w:t xml:space="preserve">https://www.kaggle.com/datasets/davidcariboo/player-scores/data</w:t>
        </w:r>
      </w:hyperlink>
      <w:r>
        <w:rPr>
          <w:lang w:val="it-IT"/>
        </w:rPr>
        <w:br/>
        <w:br/>
        <w:t xml:space="preserve">da scaricare: player_valuations.csv e players.csv</w:t>
      </w:r>
      <w:r>
        <w:rPr>
          <w:highlight w:val="none"/>
          <w:lang w:val="it-IT"/>
        </w:rPr>
      </w:r>
      <w:r>
        <w:rPr>
          <w:highlight w:val="none"/>
          <w:lang w:val="it-IT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kaggle.com/datasets/davidcariboo/player-scores/dat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2026-05-23T15:45:18Z</dcterms:modified>
</cp:coreProperties>
</file>