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drawing>
                <wp:inline distT="0" distB="0" distL="0" distR="0">
                  <wp:extent cx="4953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r>
              <w:rPr>
                <w:b/>
                <w:bCs/>
                <w:color w:val="14213D"/>
                <w:sz w:val="40"/>
                <w:szCs w:val="40"/>
              </w:rPr>
              <w:t xml:space="preserve">VIGIE</w:t>
            </w:r>
          </w:p>
          <w:p>
            <w:r>
              <w:rPr>
                <w:i/>
                <w:iCs/>
                <w:color w:val="5A6478"/>
                <w:sz w:val="18"/>
                <w:szCs w:val="18"/>
              </w:rPr>
              <w:t xml:space="preserve">Corréler pour mieux vérifier</w:t>
            </w:r>
          </w:p>
        </w:tc>
      </w:tr>
    </w:tbl>
    <w:p>
      <w:pPr>
        <w:pBdr>
          <w:bottom w:val="single" w:color="14213D" w:sz="16" w:space="4"/>
        </w:pBdr>
        <w:spacing w:after="40" w:before="160"/>
      </w:pPr>
      <w:r>
        <w:t xml:space="preserve"/>
      </w:r>
    </w:p>
    <w:p>
      <w:pPr>
        <w:spacing w:after="40" w:before="140"/>
      </w:pPr>
      <w:r>
        <w:rPr>
          <w:color w:val="5A6478"/>
          <w:sz w:val="17"/>
          <w:szCs w:val="17"/>
        </w:rPr>
        <w:t xml:space="preserve">CNISAI / AVSEC 2026  ·  Catégorie Innovation libre</w:t>
      </w:r>
    </w:p>
    <w:p>
      <w:pPr>
        <w:spacing w:after="260" w:before="0"/>
      </w:pPr>
      <w:r>
        <w:rPr>
          <w:b/>
          <w:bCs/>
          <w:color w:val="14213D"/>
          <w:sz w:val="30"/>
          <w:szCs w:val="30"/>
        </w:rPr>
        <w:t xml:space="preserve">Déclaration d'éthique et de confidentialité</w:t>
      </w:r>
    </w:p>
    <w:p>
      <w:pPr>
        <w:spacing w:after="220"/>
        <w:jc w:val="both"/>
      </w:pPr>
      <w:r>
        <w:rPr>
          <w:color w:val="1A1A1A"/>
          <w:sz w:val="21"/>
          <w:szCs w:val="21"/>
        </w:rPr>
        <w:t xml:space="preserve">L'équipe du projet VIGIE s'engage sur les principes suivants pour la durée du concours CNISAI/AVSEC 2026 et pour toute évolution ultérieure du projet.</w:t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Aucun objet dangereux, arme réelle, explosif ou source radioactive n'est utilisé à quelque étape que ce soit — toute démonstration s'appuie exclusivement sur des objets inertes et des données autorisées, conformément au règlement du concours.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Le système est strictement passif : aucune interception de contenu de communication, aucun brouillage, aucune émission. Il détecte une présence ou reçoit un signalement, jamais un contenu privé.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Le périmètre couvre les événements de sûreté aéroportuaire dans leur ensemble — signalements d'agents autant que détection de drones. La détection de drones n'est ni le seul cas d'usage ni la seule source de données du système.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Le protocole Remote ID diffuse, entre autres champs, la position du télépilote. Ce champ est traité avec la même exigence de minimisation que toute donnée personnelle : conservé seulement le temps nécessaire à la démonstration, jamais publié ni croisé à des fins d'identification.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Aucune neutralisation active du drone n'est développée ni envisagée — le système s'arrête à la détection, l'alerte et la traçabilité.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Aucune donnée personnelle identifiable n'est collectée, stockée ou traitée à quelque étape du projet.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Le système est conçu comme un outil d'aide à la décision pour l'agent et le responsable de sûreté humains — il ne prend et ne prendra à aucun stade de décision autonome affectant une personne.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Les limites techniques connues du système sont documentées et communiquées de façon transparente.</w:t>
            </w:r>
          </w:p>
        </w:tc>
      </w:tr>
    </w:tbl>
    <w:p>
      <w:pPr>
        <w:spacing w:after="0"/>
      </w:pPr>
      <w:r>
        <w:rPr>
          <w:sz w:val="2"/>
          <w:szCs w:val="2"/>
        </w:rPr>
        <w:t xml:space="preserve"/>
      </w:r>
    </w:p>
    <w:tbl>
      <w:tblPr>
        <w:tblW w:type="dxa" w:w="90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060"/>
            <w:tcBorders>
              <w:top w:val="none"/>
              <w:left w:val="single" w:color="F2994A" w:sz="18"/>
              <w:bottom w:val="none"/>
              <w:right w:val="none"/>
            </w:tcBorders>
            <w:shd w:fill="F7F8FA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jc w:val="both"/>
            </w:pPr>
            <w:r>
              <w:rPr>
                <w:color w:val="1A1A1A"/>
                <w:sz w:val="21"/>
                <w:szCs w:val="21"/>
              </w:rPr>
              <w:t xml:space="preserve">Toute donnée collectée dans le cadre du concours reste la propriété de l'équipe et n'est partagée avec l'ANAC que dans le cadre strict de l'évaluation du projet.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8e848aa71da2177706b9e00a81d863b5d4e6caf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2026-08-30T05:25:58.189Z</dcterms:created>
  <dcterms:modified xsi:type="dcterms:W3CDTF">2026-08-30T05:25:58.200Z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