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b/>
                <w:bCs/>
                <w:color w:val="14213D"/>
                <w:sz w:val="40"/>
                <w:szCs w:val="40"/>
              </w:rPr>
              <w:t xml:space="preserve">VIGIE</w:t>
            </w:r>
          </w:p>
          <w:p>
            <w:r>
              <w:rPr>
                <w:i/>
                <w:iCs/>
                <w:color w:val="5A6478"/>
                <w:sz w:val="18"/>
                <w:szCs w:val="18"/>
              </w:rPr>
              <w:t xml:space="preserve">Corréler pour mieux vérifier</w:t>
            </w:r>
          </w:p>
        </w:tc>
      </w:tr>
    </w:tbl>
    <w:p>
      <w:pPr>
        <w:pBdr>
          <w:bottom w:val="single" w:color="14213D" w:sz="16" w:space="4"/>
        </w:pBdr>
        <w:spacing w:after="40" w:before="160"/>
      </w:pPr>
      <w:r>
        <w:t xml:space="preserve"/>
      </w:r>
    </w:p>
    <w:p>
      <w:pPr>
        <w:spacing w:after="40" w:before="140"/>
      </w:pPr>
      <w:r>
        <w:rPr>
          <w:color w:val="5A6478"/>
          <w:sz w:val="17"/>
          <w:szCs w:val="17"/>
        </w:rPr>
        <w:t xml:space="preserve">CNISAI / AVSEC 2026  ·  Catégorie Innovation libre</w:t>
      </w:r>
    </w:p>
    <w:p>
      <w:pPr>
        <w:spacing w:after="200" w:before="0"/>
      </w:pPr>
      <w:r>
        <w:rPr>
          <w:b/>
          <w:bCs/>
          <w:color w:val="14213D"/>
          <w:sz w:val="30"/>
          <w:szCs w:val="30"/>
        </w:rPr>
        <w:t xml:space="preserve">Fiche préliminaire d'analyse des risques</w:t>
      </w:r>
    </w:p>
    <w:p>
      <w:pPr>
        <w:spacing w:after="220"/>
        <w:jc w:val="both"/>
      </w:pPr>
      <w:r>
        <w:rPr>
          <w:color w:val="5A6478"/>
          <w:sz w:val="20"/>
          <w:szCs w:val="20"/>
        </w:rPr>
        <w:t xml:space="preserve">Risques identifiés à ce stade du projet, avec probabilité, impact et mesure d'atténuation associée. Cette fiche sera mise à jour à chaque jalon du concours.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500"/>
        <w:gridCol w:w="3760"/>
      </w:tblGrid>
      <w:tr>
        <w:tc>
          <w:tcPr>
            <w:tcW w:type="dxa" w:w="2500"/>
            <w:shd w:fill="14213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Risque</w:t>
            </w:r>
          </w:p>
        </w:tc>
        <w:tc>
          <w:tcPr>
            <w:tcW w:type="dxa" w:w="1300"/>
            <w:shd w:fill="14213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Probabilité</w:t>
            </w:r>
          </w:p>
        </w:tc>
        <w:tc>
          <w:tcPr>
            <w:tcW w:type="dxa" w:w="1500"/>
            <w:shd w:fill="14213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760"/>
            <w:shd w:fill="14213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Détection RF non conforme à la réglementation spectrale togolaise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Vérification juridique avant tout déploiement terrain ; réception strictement passive, aucune émission.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Faux positifs / faux négatifs de la classification IA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Seuils de criticité prudents, garde-fou codé indépendant du modèle, supervision humaine obligatoire avant toute action.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Dépendance à un fournisseur IA externe en cas de coupure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Cascade multi-fournisseurs avec repli automatique, mode dégradé jamais bloquant — architecture déjà validée en production.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Biais géographique des données d'entraînement/démonstration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Biais documenté explicitement, aucune prétention de fiabilité totale, priorité à la traçabilité humaine sur la décision automatique.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Confidentialité en cas de déploiement réel (localisation agents, données passagers)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EAF4F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F7A5C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Aucune donnée personnelle identifiable collectée au stade actuel ; anonymisation par conception.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Exposition de la position du télépilote (champ diffusé par le protocole Remote ID)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Minimisation stricte, durée de rétention courte, jamais de publication ni de croisement à des fins d'identification.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Permissions de base de données trop ouvertes en cas de connexion prématurée à une vraie instance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FDF2E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96A1B"/>
                <w:sz w:val="17"/>
                <w:szCs w:val="17"/>
              </w:rPr>
              <w:t xml:space="preserve">Moyenne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CEBE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B23B2E"/>
                <w:sz w:val="17"/>
                <w:szCs w:val="17"/>
              </w:rPr>
              <w:t xml:space="preserve">Élevé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Correction des droits d'accès, authentification et séparation lecture/écriture exigées avant toute connexion à des données réelles.</w:t>
            </w:r>
          </w:p>
        </w:tc>
      </w:tr>
      <w:tr>
        <w:tc>
          <w:tcPr>
            <w:tcW w:type="dxa" w:w="250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Dérive de portée vers la neutralisation active du drone</w:t>
            </w:r>
          </w:p>
        </w:tc>
        <w:tc>
          <w:tcPr>
            <w:tcW w:type="dxa" w:w="1300"/>
            <w:tcBorders>
              <w:bottom w:val="single" w:color="E2E6EC" w:sz="4"/>
            </w:tcBorders>
            <w:shd w:fill="EAF4F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F7A5C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bottom w:val="single" w:color="E2E6EC" w:sz="4"/>
            </w:tcBorders>
            <w:shd w:fill="F2E9F7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6C3F91"/>
                <w:sz w:val="17"/>
                <w:szCs w:val="17"/>
              </w:rPr>
              <w:t xml:space="preserve">Fatal</w:t>
            </w:r>
          </w:p>
        </w:tc>
        <w:tc>
          <w:tcPr>
            <w:tcW w:type="dxa" w:w="3760"/>
            <w:tcBorders>
              <w:bottom w:val="single" w:color="E2E6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Engagement explicite et documenté : le système s'arrête à détection, alerte et traçabilité.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e848aa71da2177706b9e00a81d863b5d4e6ca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2026-08-30T05:26:30.698Z</dcterms:created>
  <dcterms:modified xsi:type="dcterms:W3CDTF">2026-08-30T05:26:30.698Z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