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VIGIE</w:t>
      </w:r>
    </w:p>
    <w:p>
      <w:pPr>
        <w:spacing w:after="40"/>
        <w:jc w:val="center"/>
      </w:pPr>
      <w:r>
        <w:rPr>
          <w:i/>
          <w:iCs/>
          <w:sz w:val="24"/>
          <w:szCs w:val="24"/>
        </w:rPr>
        <w:t xml:space="preserve">Plateforme de corrélation d'événements de sûreté aéroportuaire</w:t>
      </w:r>
    </w:p>
    <w:p>
      <w:pPr>
        <w:spacing w:after="300"/>
        <w:jc w:val="center"/>
      </w:pPr>
      <w:r>
        <w:rPr>
          <w:color w:val="555555"/>
          <w:sz w:val="22"/>
          <w:szCs w:val="22"/>
        </w:rPr>
        <w:t xml:space="preserve">Note conceptuelle — CNISAI/AVSEC 2026, catégorie Innovation libre</w:t>
      </w:r>
    </w:p>
    <w:p>
      <w:pPr>
        <w:spacing w:after="300"/>
        <w:jc w:val="center"/>
      </w:pPr>
      <w:r>
        <w:rPr>
          <w:color w:val="1155CC"/>
          <w:sz w:val="20"/>
          <w:szCs w:val="20"/>
        </w:rPr>
        <w:t xml:space="preserve">Démonstration interactive et fiche complète : https://vigie.josephhounto.workers.dev/</w:t>
      </w:r>
    </w:p>
    <w:p>
      <w:pPr>
        <w:pStyle w:val="Heading1"/>
        <w:spacing w:after="150" w:before="300"/>
      </w:pPr>
      <w:r>
        <w:t xml:space="preserve">1. Contexte et problème</w:t>
      </w:r>
    </w:p>
    <w:p>
      <w:pPr>
        <w:spacing w:after="160"/>
        <w:jc w:val="both"/>
      </w:pPr>
      <w:r>
        <w:t xml:space="preserve">La détection et le traitement des menaces à la sûreté aéroportuaire reposent aujourd'hui largement sur des chaînes disjointes : un agent qui signale un incident, un contrôle visuel, une procédure administrative de notification. Chaque signal est traité isolément, sans mémoire ni mise en relation avec les événements passés ou concomitants.</w:t>
      </w:r>
    </w:p>
    <w:p>
      <w:pPr>
        <w:spacing w:after="160"/>
        <w:jc w:val="both"/>
      </w:pPr>
      <w:r>
        <w:t xml:space="preserve">Trois précédents documentés illustrent le coût de cette dispersion. À l'aéroport de Gatwick (Royaume-Uni, 2018), 115 signalements de drones répartis sur trois jours n'ont jamais été consolidés en temps réel ; police et radar militaire sont restés en désaccord jusqu'au troisième jour, et un couple innocent a été détenu 36 heures sur la base d'un signalement isolé non recoupé. À OR Tambo (Afrique du Sud, 2019 et 2023), un drone seulement suspecté — jamais confirmé — a suffi à perturber l'exploitation. Plus près du Togo, l'aéroport de Niamey (Niger) a été visé par un drone en 2026, premier cas de ce type attribué dans le pays selon les données ACLED : la question n'est plus lointaine pour l'Afrique de l'Ouest.</w:t>
      </w:r>
    </w:p>
    <w:p>
      <w:pPr>
        <w:spacing w:after="160"/>
        <w:jc w:val="both"/>
      </w:pPr>
      <w:r>
        <w:t xml:space="preserve">Dans chacun de ces cas, le problème n'était pas l'absence de signal — il y en avait, parfois par centaines. C'était le temps perdu à déterminer lequel comptait. Par ailleurs, une partie de cette menace échappe structurellement à l'équipement de sûreté classique (scanners, portiques, magnétomètres) : l'incursion de drones non-autorisés, qui ne figure dans aucune des thématiques listées par l'ANAC — un angle mort réglementaire nettement identifié.</w:t>
      </w:r>
    </w:p>
    <w:p>
      <w:pPr>
        <w:pStyle w:val="Heading1"/>
        <w:spacing w:after="150" w:before="300"/>
      </w:pPr>
      <w:r>
        <w:t xml:space="preserve">2. Description du concept</w:t>
      </w:r>
    </w:p>
    <w:p>
      <w:pPr>
        <w:spacing w:after="160"/>
        <w:jc w:val="both"/>
      </w:pPr>
      <w:r>
        <w:t xml:space="preserve">VIGIE répond à une logique en trois temps : voir vite, recouper, puis décider. Le système ingère des signaux hétérogènes — signalements d'agents au sol et détections de drones (Remote ID, puis énergie radio générique) — les classe automatiquement par nature et criticité via intelligence artificielle, les recoupe dans le temps et l'espace, et met un dossier complet entre les mains d'un responsable humain.</w:t>
      </w:r>
    </w:p>
    <w:p>
      <w:pPr>
        <w:spacing w:after="160"/>
        <w:jc w:val="both"/>
      </w:pPr>
      <w:r>
        <w:t xml:space="preserve">Le signalement d'agent et la détection de drone sont deux sources de poids égal dans l'architecture, pas un système anti-drone assorti d'un canal secondaire : le moteur de corrélation ne distingue pas a priori une intrusion aérienne d'un accès irrégulier ou d'un objet abandonné — il traite des traces, quelle qu'en soit l'origine.</w:t>
      </w:r>
    </w:p>
    <w:p>
      <w:pPr>
        <w:spacing w:after="160"/>
        <w:jc w:val="both"/>
      </w:pPr>
      <w:r>
        <w:t xml:space="preserve">Le projet ne se positionne pas comme un outil de décision autonome, mais comme un outil d'aide à la décision. VIGIE n'arrête pas un drone — aucun système civil légal ne le fait — il réduit le délai entre le premier signal et une décision informée.</w:t>
      </w:r>
    </w:p>
    <w:p>
      <w:pPr>
        <w:pStyle w:val="Heading1"/>
        <w:spacing w:after="150" w:before="300"/>
      </w:pPr>
      <w:r>
        <w:t xml:space="preserve">3. Architecture technique</w:t>
      </w:r>
    </w:p>
    <w:p>
      <w:pPr>
        <w:pStyle w:val="Heading2"/>
        <w:spacing w:after="120" w:before="240"/>
      </w:pPr>
      <w:r>
        <w:t xml:space="preserve">3.1 Vue d'ensemble</w:t>
      </w:r>
    </w:p>
    <w:p>
      <w:pPr>
        <w:spacing w:after="160"/>
        <w:jc w:val="both"/>
      </w:pPr>
      <w:r>
        <w:t xml:space="preserve">Le système s'articule en cinq blocs : deux sources de signaux (signalement agent et capteur RF), un moteur de classification IA, un moteur de corrélation spatio-temporelle, et deux sorties (carte de risque, traçabilité décisionnelle).</w:t>
      </w:r>
    </w:p>
    <w:p>
      <w:pPr>
        <w:pStyle w:val="Heading2"/>
        <w:spacing w:after="120" w:before="240"/>
      </w:pPr>
      <w:r>
        <w:t xml:space="preserve">3.2 Détection des drones (volet matériel)</w:t>
      </w:r>
    </w:p>
    <w:p>
      <w:pPr>
        <w:spacing w:after="160"/>
        <w:jc w:val="both"/>
      </w:pPr>
      <w:r>
        <w:t xml:space="preserve">VIGIE combine deux couches complémentaires de détection, chacune répondant à une limite de l'autre.</w:t>
      </w:r>
    </w:p>
    <w:p>
      <w:pPr>
        <w:spacing w:after="160"/>
        <w:jc w:val="both"/>
      </w:pPr>
      <w:r>
        <w:t xml:space="preserve">Couche 1 — Remote ID (priorité, MVP démontrable) : la majorité des drones grand public diffusent volontairement leur identité (position, altitude) en WiFi ou Bluetooth, norme ASTM F3411/OpenDroneID. Une carte électronique de base ou une application dédiée sur smartphone reçoit cette diffusion nativement, sans chaîne radio additionnelle. Solution prouvée, portées réelles rapportées de 5 à 15 km.</w:t>
      </w:r>
    </w:p>
    <w:p>
      <w:pPr>
        <w:spacing w:after="160"/>
        <w:jc w:val="both"/>
      </w:pPr>
      <w:r>
        <w:t xml:space="preserve">Couche 2 — Détection d'énergie RF générique (extension) : capte tout émetteur 2,4 GHz, y compris un drone délibérément non conforme qui ne diffuse aucun Remote ID. Nécessite un récepteur radio associé à un convertisseur de fréquence, plus complexe à construire, envisagée comme objectif d'extension si le temps de l'équipe le permet.</w:t>
      </w:r>
    </w:p>
    <w:p>
      <w:pPr>
        <w:spacing w:after="160"/>
        <w:jc w:val="both"/>
      </w:pPr>
      <w:r>
        <w:t xml:space="preserve">Limite assumée explicitement : la Couche 1 ne détecte que les drones coopératifs — un acteur hostile n'a aucune raison de diffuser son identité. C'est précisément la limite que la Couche 2 vise à combler. Documenter cette limite plutôt que la dissimuler renforce la crédibilité du projet devant un jury de régulateurs.</w:t>
      </w:r>
    </w:p>
    <w:p>
      <w:pPr>
        <w:pStyle w:val="Heading2"/>
        <w:spacing w:after="120" w:before="240"/>
      </w:pPr>
      <w:r>
        <w:t xml:space="preserve">3.3 Classification par intelligence artificielle (volet logiciel)</w:t>
      </w:r>
    </w:p>
    <w:p>
      <w:pPr>
        <w:spacing w:after="160"/>
        <w:jc w:val="both"/>
      </w:pPr>
      <w:r>
        <w:t xml:space="preserve">Chaque événement est soumis à une cascade de fournisseurs d'IA (fournisseur principal, secours automatique en cas d'indisponibilité, repli prudent en dernier recours) qui détermine sa nature (incident confirmé, fausse alerte, anomalie à vérifier) et un score de criticité. Un garde-fou côté code recorrige systématiquement le score si la nature déclarée par le modèle est incohérente — défense en profondeur, jamais une confiance aveugle en la sortie du modèle seul.</w:t>
      </w:r>
    </w:p>
    <w:p>
      <w:pPr>
        <w:pStyle w:val="Heading2"/>
        <w:spacing w:after="120" w:before="240"/>
      </w:pPr>
      <w:r>
        <w:t xml:space="preserve">3.4 Corrélation spatio-temporelle</w:t>
      </w:r>
    </w:p>
    <w:p>
      <w:pPr>
        <w:spacing w:after="160"/>
        <w:jc w:val="both"/>
      </w:pPr>
      <w:r>
        <w:t xml:space="preserve">Les événements classés sont comparés entre eux pour détecter des récurrences (même zone, créneaux similaires, répétition d'un même type d'incident) invisibles à l'analyse événement par événement. Un lien n'est retenu que si un score de confiance strict est dépassé, pour éviter les faux rapprochements.</w:t>
      </w:r>
    </w:p>
    <w:p>
      <w:pPr>
        <w:pStyle w:val="Heading2"/>
        <w:spacing w:after="120" w:before="240"/>
      </w:pPr>
      <w:r>
        <w:t xml:space="preserve">3.5 Carte de risque et traçabilité</w:t>
      </w:r>
    </w:p>
    <w:p>
      <w:pPr>
        <w:spacing w:after="160"/>
        <w:jc w:val="both"/>
      </w:pPr>
      <w:r>
        <w:t xml:space="preserve">La sortie finale combine une vue cartographique mise à jour en continu et un historique complet de chaque événement, de sa détection à sa résolution — condition de conformité avec les exigences de notification et de traçabilité des événements de sûreté.</w:t>
      </w:r>
    </w:p>
    <w:p>
      <w:pPr>
        <w:pStyle w:val="Heading1"/>
        <w:spacing w:after="150" w:before="300"/>
      </w:pPr>
      <w:r>
        <w:t xml:space="preserve">4. Ce que le système trace et corrèle</w:t>
      </w:r>
    </w:p>
    <w:p>
      <w:pPr>
        <w:spacing w:after="160"/>
        <w:jc w:val="both"/>
      </w:pPr>
      <w:r>
        <w:t xml:space="preserve">Un détecteur voit un instant ; une trace raconte une habitude. Le protocole Remote ID (norme ASTM F3411) diffuse, au-delà de la position instantanée du drone, un numéro de série d'appareil et la position du télépilote — deux champs distincts du signal brut. Six dimensions sont exploitables pour la corrélation, dont trois sont invisibles à un détecteur pris isolément, quel qu'en soit le niveau d'équipement :</w:t>
      </w:r>
    </w:p>
    <w:p>
      <w:pPr>
        <w:pStyle w:val="ListParagraph"/>
        <w:numPr>
          <w:ilvl w:val="0"/>
          <w:numId w:val="1"/>
        </w:numPr>
        <w:spacing w:after="80"/>
      </w:pPr>
      <w:r>
        <w:t xml:space="preserve">Le temps et le lieu, à précisions variables selon la source — la base de tout rapprochement (dimensions 1-2).</w:t>
      </w:r>
    </w:p>
    <w:p>
      <w:pPr>
        <w:pStyle w:val="ListParagraph"/>
        <w:numPr>
          <w:ilvl w:val="0"/>
          <w:numId w:val="1"/>
        </w:numPr>
        <w:spacing w:after="80"/>
      </w:pPr>
      <w:r>
        <w:t xml:space="preserve">L'identifiant persistant du drone : plusieurs passages du même appareil en peu de temps cessent d'être des incidents isolés pour devenir un motif (dimension 3).</w:t>
      </w:r>
    </w:p>
    <w:p>
      <w:pPr>
        <w:pStyle w:val="ListParagraph"/>
        <w:numPr>
          <w:ilvl w:val="0"/>
          <w:numId w:val="1"/>
        </w:numPr>
        <w:spacing w:after="80"/>
      </w:pPr>
      <w:r>
        <w:t xml:space="preserve">La position du télépilote : un même point de décollage répété sur plusieurs vols identifie un lieu récurrent, pas seulement un appareil (dimension 4).</w:t>
      </w:r>
    </w:p>
    <w:p>
      <w:pPr>
        <w:pStyle w:val="ListParagraph"/>
        <w:numPr>
          <w:ilvl w:val="0"/>
          <w:numId w:val="1"/>
        </w:numPr>
        <w:spacing w:after="80"/>
      </w:pPr>
      <w:r>
        <w:t xml:space="preserve">L'écart entre les couches : une signature radio détectée sans Remote ID correspondant signale soit un appareil non coopératif, soit une identité falsifiée — cette contradiction entre deux sources est le signal de plus forte valeur, et n'existe qu'en corrélant (dimension 6, avec le cap/trajectoire en dimension 5).</w:t>
      </w:r>
    </w:p>
    <w:p>
      <w:pPr>
        <w:spacing w:after="160"/>
        <w:jc w:val="both"/>
      </w:pPr>
      <w:r>
        <w:t xml:space="preserve">Un système de détection mieux équipé verra mieux un événement isolé ; il ne dira pas pour autant qu'il s'agit du même appareil, parti du même endroit, pour la troisième fois. C'est cette couche de corrélation, appliquée indifféremment aux événements drone et aux signalements d'agents, que VIGIE construit.</w:t>
      </w:r>
    </w:p>
    <w:p>
      <w:pPr>
        <w:pStyle w:val="Heading1"/>
        <w:spacing w:after="150" w:before="300"/>
      </w:pPr>
      <w:r>
        <w:t xml:space="preserve">5. Positionnement face à l'existant</w:t>
      </w:r>
    </w:p>
    <w:p>
      <w:pPr>
        <w:spacing w:after="160"/>
        <w:jc w:val="both"/>
      </w:pPr>
      <w:r>
        <w:t xml:space="preserve">Le marché de la lutte anti-drone est dominé par des systèmes propriétaires orientés matériel (radars, fusion de capteurs RF/optiques), efficaces mais hors d'atteinte budgétaire d'un aéroport régional ouest-africain : un radar de détection professionnel se chiffre couramment à six chiffres, avec une maintenance annuelle de l'ordre de 10 à 15 % du prix du matériel. Les analyses de coût du secteur distinguent explicitement un système qui produit des alertes d'un système qui produit des enregistrements traçables, et classent la corrélation et la journalisation comme un poste d'intégration séparé du matériel de détection.</w:t>
      </w:r>
    </w:p>
    <w:p>
      <w:pPr>
        <w:spacing w:after="160"/>
        <w:jc w:val="both"/>
      </w:pPr>
      <w:r>
        <w:t xml:space="preserve">VIGIE ne concurrence pas ces systèmes : il construit la couche qu'ils facturent en supplément, sans dépendre d'un parc de capteurs coûteux. Le projet ne revendique l'invention ni du Remote ID, ni de la radio logicielle, ni de l'intelligence artificielle — l'innovation revendiquée est leur intégration locale dans une chaîne traçable, explicable et supervisée, démarrant sans achat obligatoire par l'équipe.</w:t>
      </w:r>
    </w:p>
    <w:p>
      <w:pPr>
        <w:pStyle w:val="Heading1"/>
        <w:spacing w:after="150" w:before="300"/>
      </w:pPr>
      <w:r>
        <w:t xml:space="preserve">6. Élément d'innovation</w:t>
      </w:r>
    </w:p>
    <w:p>
      <w:pPr>
        <w:pStyle w:val="ListParagraph"/>
        <w:numPr>
          <w:ilvl w:val="0"/>
          <w:numId w:val="1"/>
        </w:numPr>
        <w:spacing w:after="80"/>
      </w:pPr>
      <w:r>
        <w:t xml:space="preserve">Aucun équipement de sûreté classique requis pour démarrer — déployable dans n'importe quel aéroport togolais, quel que soit son niveau d'équipement actuel.</w:t>
      </w:r>
    </w:p>
    <w:p>
      <w:pPr>
        <w:pStyle w:val="ListParagraph"/>
        <w:numPr>
          <w:ilvl w:val="0"/>
          <w:numId w:val="1"/>
        </w:numPr>
        <w:spacing w:after="80"/>
      </w:pPr>
      <w:r>
        <w:t xml:space="preserve">Couvre un angle mort réglementaire net (menace aérienne/périmètre) que la liste thématique de l'ANAC ne couvre pas explicitement, tout en traitant les événements de sûreté classiques dans le même moteur.</w:t>
      </w:r>
    </w:p>
    <w:p>
      <w:pPr>
        <w:pStyle w:val="ListParagraph"/>
        <w:numPr>
          <w:ilvl w:val="0"/>
          <w:numId w:val="1"/>
        </w:numPr>
        <w:spacing w:after="80"/>
      </w:pPr>
      <w:r>
        <w:t xml:space="preserve">Architecture de résilience (cascade multi-fournisseurs IA, mode dégradé jamais bloquant) déjà validée en production sur un système indépendant, avec une leçon déjà tirée : la boucle de rétroaction entre verdict humain et scoring futur est conçue dès le départ, plutôt qu'ajoutée après coup.</w:t>
      </w:r>
    </w:p>
    <w:p>
      <w:pPr>
        <w:pStyle w:val="Heading1"/>
        <w:spacing w:after="150" w:before="300"/>
      </w:pPr>
      <w:r>
        <w:t xml:space="preserve">7. Ancrage réglementaire</w:t>
      </w:r>
    </w:p>
    <w:p>
      <w:pPr>
        <w:spacing w:after="160"/>
        <w:jc w:val="both"/>
      </w:pPr>
      <w:r>
        <w:t xml:space="preserve">Le projet s'inscrit dans le cadre de l'Annexe 17 de l'OACI (sûreté de l'aviation civile) et du Programme National de Sûreté de l'Aviation Civile (PNSAC). La brique de notification et de traçabilité fait explicitement écho au processus de notification des événements de sécurité récemment formalisé par l'ANAC.</w:t>
      </w:r>
    </w:p>
    <w:p>
      <w:pPr>
        <w:pStyle w:val="Heading1"/>
        <w:spacing w:after="150" w:before="300"/>
      </w:pPr>
      <w:r>
        <w:t xml:space="preserve">8. Plan de développement</w:t>
      </w:r>
    </w:p>
    <w:p>
      <w:pPr>
        <w:pStyle w:val="ListParagraph"/>
        <w:numPr>
          <w:ilvl w:val="0"/>
          <w:numId w:val="1"/>
        </w:numPr>
        <w:spacing w:after="80"/>
      </w:pPr>
      <w:r>
        <w:t xml:space="preserve">31 août 2026 — clôture des candidatures et dépôt du dossier (ce document).</w:t>
      </w:r>
    </w:p>
    <w:p>
      <w:pPr>
        <w:pStyle w:val="ListParagraph"/>
        <w:numPr>
          <w:ilvl w:val="0"/>
          <w:numId w:val="1"/>
        </w:numPr>
        <w:spacing w:after="80"/>
      </w:pPr>
      <w:r>
        <w:t xml:space="preserve">14 septembre 2026 — réunion d'information pour les équipes sélectionnées.</w:t>
      </w:r>
    </w:p>
    <w:p>
      <w:pPr>
        <w:pStyle w:val="ListParagraph"/>
        <w:numPr>
          <w:ilvl w:val="0"/>
          <w:numId w:val="1"/>
        </w:numPr>
        <w:spacing w:after="80"/>
      </w:pPr>
      <w:r>
        <w:t xml:space="preserve">Septembre 2026 — mars 2027 : acquisition du matériel, tests de détection Remote ID en conditions contrôlées, développement du moteur de classification et de corrélation, intégration bout en bout, construction de la carte de risque.</w:t>
      </w:r>
    </w:p>
    <w:p>
      <w:pPr>
        <w:pStyle w:val="ListParagraph"/>
        <w:numPr>
          <w:ilvl w:val="0"/>
          <w:numId w:val="1"/>
        </w:numPr>
        <w:spacing w:after="80"/>
      </w:pPr>
      <w:r>
        <w:t xml:space="preserve">Mars 2027 — grande finale et démonstration.</w:t>
      </w:r>
    </w:p>
    <w:p>
      <w:pPr>
        <w:pStyle w:val="Heading1"/>
        <w:spacing w:after="150" w:before="300"/>
      </w:pPr>
      <w:r>
        <w:t xml:space="preserve">9. Budget prévisionnel</w:t>
      </w:r>
    </w:p>
    <w:p>
      <w:pPr>
        <w:spacing w:after="160"/>
        <w:jc w:val="both"/>
      </w:pPr>
      <w:r>
        <w:t xml:space="preserve">Couche 1 (Remote ID, priorité) : une carte électronique de base (Seeed XIAO ESP32-S3 ou équivalent) suffit, avec un firmware de réception open source déjà identifié (Mesh-Mapper). Aucun composant RF additionnel requis. Couche 2 (énergie RF générique, extension) : dongle RTL-SDR, antenne dédiée 2,4/5,8 GHz réalisable en DIY, filtre et downconverter — un RTL-SDR classique ne couvrant pas directement ces bandes — estimés à 50-70 € hors frais de douane et de livraison, à confirmer selon le fournisseur retenu au moment de l'achat. Aucun autre coût matériel identifié à ce stade — l'ensemble du volet logiciel repose sur des outils gratuits ou à quota gratuit généreux.</w:t>
      </w:r>
    </w:p>
    <w:p>
      <w:pPr>
        <w:pStyle w:val="Heading1"/>
        <w:spacing w:after="150" w:before="300"/>
      </w:pPr>
      <w:r>
        <w:t xml:space="preserve">10. Limites assumées</w:t>
      </w:r>
    </w:p>
    <w:p>
      <w:pPr>
        <w:pStyle w:val="ListParagraph"/>
        <w:numPr>
          <w:ilvl w:val="0"/>
          <w:numId w:val="1"/>
        </w:numPr>
        <w:spacing w:after="80"/>
      </w:pPr>
      <w:r>
        <w:t xml:space="preserve">Détection RF inopérante face à un drone en vol pré-programmé sans liaison radio active.</w:t>
      </w:r>
    </w:p>
    <w:p>
      <w:pPr>
        <w:pStyle w:val="ListParagraph"/>
        <w:numPr>
          <w:ilvl w:val="0"/>
          <w:numId w:val="1"/>
        </w:numPr>
        <w:spacing w:after="80"/>
      </w:pPr>
      <w:r>
        <w:t xml:space="preserve">Corrélation démontrée sur données simulées en l'absence d'historique réel — limite documentée, non dissimulée.</w:t>
      </w:r>
    </w:p>
    <w:p>
      <w:pPr>
        <w:pStyle w:val="ListParagraph"/>
        <w:numPr>
          <w:ilvl w:val="0"/>
          <w:numId w:val="1"/>
        </w:numPr>
        <w:spacing w:after="80"/>
      </w:pPr>
      <w:r>
        <w:t xml:space="preserve">Vérification de la réglementation togolaise sur l'écoute passive du spectre en cours, non finalisée à la date de ce dépôt.</w:t>
      </w:r>
    </w:p>
    <w:p>
      <w:pPr>
        <w:pStyle w:val="Heading1"/>
        <w:spacing w:after="150" w:before="300"/>
      </w:pPr>
      <w:r>
        <w:t xml:space="preserve">11. Équipe</w:t>
      </w:r>
    </w:p>
    <w:p>
      <w:pPr>
        <w:spacing w:after="160"/>
        <w:jc w:val="both"/>
      </w:pPr>
      <w:r>
        <w:t xml:space="preserve">Voir CV individuels joints au dossier. Recrutement actif en cours pour compléter les profils informatique, électronique et cybersécurité requis par le règlement du concours.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2026-08-30T05:19:50.725Z</dcterms:created>
  <dcterms:modified xsi:type="dcterms:W3CDTF">2026-08-30T05:19:50.736Z</dcterms:modified>
</cp:coreProperties>
</file>

<file path=docProps/custom.xml><?xml version="1.0" encoding="utf-8"?>
<Properties xmlns="http://schemas.openxmlformats.org/officeDocument/2006/custom-properties" xmlns:vt="http://schemas.openxmlformats.org/officeDocument/2006/docPropsVTypes"/>
</file>