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2" w:name="content"/>
    <w:bookmarkStart w:id="41" w:name="X17c6a9ff5019d7b652c6261a4908d8de5eb9771"/>
    <w:p>
      <w:pPr>
        <w:pStyle w:val="Heading1"/>
      </w:pPr>
      <w:r>
        <w:t xml:space="preserve">Plant Bus GxP Risk Mitigation Brief for OT→Enterprise Data Dissemination Using Ignition, HighByte, and HiveMQ</w: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Because information traversing the Plant Bus will be used for</w:t>
      </w:r>
      <w:r>
        <w:t xml:space="preserve"> </w:t>
      </w:r>
      <w:r>
        <w:rPr>
          <w:b/>
          <w:bCs/>
        </w:rPr>
        <w:t xml:space="preserve">GxP decision making</w:t>
      </w:r>
      <w:r>
        <w:t xml:space="preserve">, the Plant Bus must be treated as a</w:t>
      </w:r>
      <w:r>
        <w:t xml:space="preserve"> </w:t>
      </w:r>
      <w:r>
        <w:rPr>
          <w:b/>
          <w:bCs/>
        </w:rPr>
        <w:t xml:space="preserve">GMP computerized system</w:t>
      </w:r>
      <w:r>
        <w:t xml:space="preserve"> </w:t>
      </w:r>
      <w:r>
        <w:t xml:space="preserve">where availability, correctness, auditability, and validated-state control are as important as network/IAM hardening. Even under best-practice Purdue/ISA-62443 zoning, an industrial DMZ, strict allow-listing, IDS/IPS, segmented management, and strong IAM (IdP, mTLS, RBAC, MFA, automated cert lifecycle), the Plant Bus risks remain legitimate because the primary residual failure modes are</w:t>
      </w:r>
      <w:r>
        <w:t xml:space="preserve"> </w:t>
      </w:r>
      <w:r>
        <w:rPr>
          <w:b/>
          <w:bCs/>
        </w:rPr>
        <w:t xml:space="preserve">semantic/data integrity (ALCOA/metadata), lifecycle governance (validation/change control/supplier oversight), and operational resilience (HA/backup/restore/monitoring)</w:t>
      </w:r>
      <w:r>
        <w:t xml:space="preserve">—all explicitly emphasized across EU Annex 11, FDA data integrity guidance, 21 CFR Part 11 controls, and OT security guidance.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22"/>
    <w:bookmarkStart w:id="24" w:name="scope-assumptions-and-unknowns"/>
    <w:p>
      <w:pPr>
        <w:pStyle w:val="Heading2"/>
      </w:pPr>
      <w:r>
        <w:t xml:space="preserve">Scope assumptions and unknowns</w:t>
      </w:r>
    </w:p>
    <w:p>
      <w:pPr>
        <w:pStyle w:val="FirstParagraph"/>
      </w:pPr>
      <w:r>
        <w:t xml:space="preserve">Assumed (per instruction): best-practice topology (Purdue/ISA-62443 zones, industrial DMZ with two-firewall pattern, strict allow-listing, IDS/IPS, segmented management plane) and best-practice IAM (enterprise IdP, certificate-based device auth/mTLS, RBAC, MFA for admins, automated certificate lifecycle). HIPAA/PHI is out of scope.</w:t>
      </w:r>
    </w:p>
    <w:p>
      <w:pPr>
        <w:pStyle w:val="BodyText"/>
      </w:pPr>
      <w:r>
        <w:t xml:space="preserve">Unknowns (treat as design/validation inputs to be defined without delaying this brief):</w:t>
      </w:r>
      <w:r>
        <w:t xml:space="preserve"> </w:t>
      </w:r>
      <w:r>
        <w:t xml:space="preserve">- DCS vendors: all major vendors in scope (heterogeneous protocols and semantics).</w:t>
      </w:r>
      <w:r>
        <w:t xml:space="preserve"> </w:t>
      </w:r>
      <w:r>
        <w:t xml:space="preserve">- Historian: assumed OSIsoft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PI System, may change.</w:t>
      </w:r>
      <w:r>
        <w:t xml:space="preserve"> </w:t>
      </w:r>
      <w:r>
        <w:t xml:space="preserve">- Consumers: cloud vs on-prem (hybrid boundary, egress controls).</w:t>
      </w:r>
      <w:r>
        <w:t xml:space="preserve"> </w:t>
      </w:r>
      <w:r>
        <w:t xml:space="preserve">- Message volumes, retention, and performance targets (RTO/RPO, latency SLOs).</w:t>
      </w:r>
    </w:p>
    <w:p>
      <w:pPr>
        <w:pStyle w:val="BodyText"/>
      </w:pPr>
      <w:r>
        <w:t xml:space="preserve">EU Annex 11 expects an up-to-date system description and data flow/interface documentation for critical systems, and validation should include checks that data transfers do not alter value/meaning.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bookmarkEnd w:id="24"/>
    <w:bookmarkStart w:id="26" w:name="reference-architecture-and-data-flow"/>
    <w:p>
      <w:pPr>
        <w:pStyle w:val="Heading2"/>
      </w:pPr>
      <w:r>
        <w:t xml:space="preserve">Reference architecture and data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OT[OT Zone]</w:t>
      </w:r>
      <w:r>
        <w:br/>
      </w:r>
      <w:r>
        <w:rPr>
          <w:rStyle w:val="VerbatimChar"/>
        </w:rPr>
        <w:t xml:space="preserve">    DCS[DCS/PLC]</w:t>
      </w:r>
      <w:r>
        <w:br/>
      </w:r>
      <w:r>
        <w:rPr>
          <w:rStyle w:val="VerbatimChar"/>
        </w:rPr>
        <w:t xml:space="preserve">    IGN[Ignition]</w:t>
      </w:r>
      <w:r>
        <w:br/>
      </w:r>
      <w:r>
        <w:rPr>
          <w:rStyle w:val="VerbatimChar"/>
        </w:rPr>
        <w:t xml:space="preserve">    HB[HighByte]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DMZ[Industrial DMZ]</w:t>
      </w:r>
      <w:r>
        <w:br/>
      </w:r>
      <w:r>
        <w:rPr>
          <w:rStyle w:val="VerbatimChar"/>
        </w:rPr>
        <w:t xml:space="preserve">    MQ[HiveMQ]</w:t>
      </w:r>
      <w:r>
        <w:br/>
      </w:r>
      <w:r>
        <w:rPr>
          <w:rStyle w:val="VerbatimChar"/>
        </w:rPr>
        <w:t xml:space="preserve">    MON[Monitoring/Logs]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ENT[Enterprise]</w:t>
      </w:r>
      <w:r>
        <w:br/>
      </w:r>
      <w:r>
        <w:rPr>
          <w:rStyle w:val="VerbatimChar"/>
        </w:rPr>
        <w:t xml:space="preserve">    EBR[EBR/MES]</w:t>
      </w:r>
      <w:r>
        <w:br/>
      </w:r>
      <w:r>
        <w:rPr>
          <w:rStyle w:val="VerbatimChar"/>
        </w:rPr>
        <w:t xml:space="preserve">    ERP[ERP/LIMS/QMS/Hist]</w:t>
      </w:r>
      <w:r>
        <w:br/>
      </w:r>
      <w:r>
        <w:rPr>
          <w:rStyle w:val="VerbatimChar"/>
        </w:rPr>
        <w:t xml:space="preserve">    ANA[Analytics]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IAM[IAM/PKI]</w:t>
      </w:r>
      <w:r>
        <w:br/>
      </w:r>
      <w:r>
        <w:rPr>
          <w:rStyle w:val="VerbatimChar"/>
        </w:rPr>
        <w:t xml:space="preserve">    IDP[Enterprise IdP]</w:t>
      </w:r>
      <w:r>
        <w:br/>
      </w:r>
      <w:r>
        <w:rPr>
          <w:rStyle w:val="VerbatimChar"/>
        </w:rPr>
        <w:t xml:space="preserve">    PKI[Enterprise CA + Cert Automation]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DCS --&gt; IGN --&gt; HB --&gt;|MQTT TLS+mTLS| MQ --&gt; EBR</w:t>
      </w:r>
      <w:r>
        <w:br/>
      </w:r>
      <w:r>
        <w:rPr>
          <w:rStyle w:val="VerbatimChar"/>
        </w:rPr>
        <w:t xml:space="preserve">  MQ --&gt; ERP</w:t>
      </w:r>
      <w:r>
        <w:br/>
      </w:r>
      <w:r>
        <w:rPr>
          <w:rStyle w:val="VerbatimChar"/>
        </w:rPr>
        <w:t xml:space="preserve">  MQ --&gt; ANA</w:t>
      </w:r>
      <w:r>
        <w:br/>
      </w:r>
      <w:r>
        <w:br/>
      </w:r>
      <w:r>
        <w:rPr>
          <w:rStyle w:val="VerbatimChar"/>
        </w:rPr>
        <w:t xml:space="preserve">  IDP --&gt; IGN</w:t>
      </w:r>
      <w:r>
        <w:br/>
      </w:r>
      <w:r>
        <w:rPr>
          <w:rStyle w:val="VerbatimChar"/>
        </w:rPr>
        <w:t xml:space="preserve">  IDP --&gt; HB</w:t>
      </w:r>
      <w:r>
        <w:br/>
      </w:r>
      <w:r>
        <w:rPr>
          <w:rStyle w:val="VerbatimChar"/>
        </w:rPr>
        <w:t xml:space="preserve">  PKI --&gt; IGN</w:t>
      </w:r>
      <w:r>
        <w:br/>
      </w:r>
      <w:r>
        <w:rPr>
          <w:rStyle w:val="VerbatimChar"/>
        </w:rPr>
        <w:t xml:space="preserve">  PKI --&gt; HB</w:t>
      </w:r>
      <w:r>
        <w:br/>
      </w:r>
      <w:r>
        <w:rPr>
          <w:rStyle w:val="VerbatimChar"/>
        </w:rPr>
        <w:t xml:space="preserve">  PKI --&gt; MQ</w:t>
      </w:r>
      <w:r>
        <w:br/>
      </w:r>
      <w:r>
        <w:rPr>
          <w:rStyle w:val="VerbatimChar"/>
        </w:rPr>
        <w:t xml:space="preserve">  MON --- IGN</w:t>
      </w:r>
      <w:r>
        <w:br/>
      </w:r>
      <w:r>
        <w:rPr>
          <w:rStyle w:val="VerbatimChar"/>
        </w:rPr>
        <w:t xml:space="preserve">  MON --- HB</w:t>
      </w:r>
      <w:r>
        <w:br/>
      </w:r>
      <w:r>
        <w:rPr>
          <w:rStyle w:val="VerbatimChar"/>
        </w:rPr>
        <w:t xml:space="preserve">  MON --- MQ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OT as OT Source</w:t>
      </w:r>
      <w:r>
        <w:br/>
      </w:r>
      <w:r>
        <w:rPr>
          <w:rStyle w:val="VerbatimChar"/>
        </w:rPr>
        <w:t xml:space="preserve">  participant I as Ignition</w:t>
      </w:r>
      <w:r>
        <w:br/>
      </w:r>
      <w:r>
        <w:rPr>
          <w:rStyle w:val="VerbatimChar"/>
        </w:rPr>
        <w:t xml:space="preserve">  participant H as HighByte</w:t>
      </w:r>
      <w:r>
        <w:br/>
      </w:r>
      <w:r>
        <w:rPr>
          <w:rStyle w:val="VerbatimChar"/>
        </w:rPr>
        <w:t xml:space="preserve">  participant B as HiveMQ</w:t>
      </w:r>
      <w:r>
        <w:br/>
      </w:r>
      <w:r>
        <w:rPr>
          <w:rStyle w:val="VerbatimChar"/>
        </w:rPr>
        <w:t xml:space="preserve">  participant E as Enterprise Consumer</w:t>
      </w:r>
      <w:r>
        <w:br/>
      </w:r>
      <w:r>
        <w:rPr>
          <w:rStyle w:val="VerbatimChar"/>
        </w:rPr>
        <w:t xml:space="preserve">  OT-&gt;&gt;I: Signal/event</w:t>
      </w:r>
      <w:r>
        <w:br/>
      </w:r>
      <w:r>
        <w:rPr>
          <w:rStyle w:val="VerbatimChar"/>
        </w:rPr>
        <w:t xml:space="preserve">  I-&gt;&gt;H: Normalize/context (configured)</w:t>
      </w:r>
      <w:r>
        <w:br/>
      </w:r>
      <w:r>
        <w:rPr>
          <w:rStyle w:val="VerbatimChar"/>
        </w:rPr>
        <w:t xml:space="preserve">  H-&gt;&gt;B: Publish MQTT (TLS+mTLS + authz)</w:t>
      </w:r>
      <w:r>
        <w:br/>
      </w:r>
      <w:r>
        <w:rPr>
          <w:rStyle w:val="VerbatimChar"/>
        </w:rPr>
        <w:t xml:space="preserve">  B-&gt;&gt;E: Deliver (sub ACL + QoS)</w:t>
      </w:r>
    </w:p>
    <w:p>
      <w:pPr>
        <w:pStyle w:val="FirstParagraph"/>
      </w:pPr>
      <w:r>
        <w:t xml:space="preserve">Best-practice segmentation reduces likelihood of some threats but does not eliminate the need to monitor/protect DMZ services and restrict cross-zone communications; NIST SP 800-82r3 explicitly highlights DMZ monitoring to prevent pivoting into OT.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bookmarkEnd w:id="26"/>
    <w:bookmarkStart w:id="27" w:name="risk-response-table"/>
    <w:p>
      <w:pPr>
        <w:pStyle w:val="Heading2"/>
      </w:pPr>
      <w:r>
        <w:t xml:space="preserve">Risk response table</w:t>
      </w:r>
    </w:p>
    <w:p>
      <w:pPr>
        <w:pStyle w:val="FirstParagraph"/>
      </w:pPr>
      <w:r>
        <w:t xml:space="preserve">Legend: each mitigation shown as</w:t>
      </w:r>
      <w:r>
        <w:t xml:space="preserve"> </w:t>
      </w:r>
      <w:r>
        <w:rPr>
          <w:b/>
          <w:bCs/>
        </w:rPr>
        <w:t xml:space="preserve">Action (Priority/Effort)</w:t>
      </w:r>
      <w:r>
        <w:t xml:space="preserve">. Verification steps include</w:t>
      </w:r>
      <w:r>
        <w:t xml:space="preserve"> </w:t>
      </w:r>
      <w:r>
        <w:rPr>
          <w:b/>
          <w:bCs/>
        </w:rPr>
        <w:t xml:space="preserve">measurable metrics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Mitigations (3–6)</w:t>
            </w:r>
          </w:p>
        </w:tc>
        <w:tc>
          <w:tcPr/>
          <w:p>
            <w:pPr>
              <w:pStyle w:val="Compact"/>
            </w:pPr>
            <w:r>
              <w:t xml:space="preserve">Verification &amp; metrics (2–4)</w:t>
            </w:r>
          </w:p>
        </w:tc>
        <w:tc>
          <w:tcPr/>
          <w:p>
            <w:pPr>
              <w:pStyle w:val="Compact"/>
            </w:pPr>
            <w:r>
              <w:t xml:space="preserve">Residual risk / trade-offs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OT middleware (no pharma track record)</w:t>
            </w:r>
          </w:p>
        </w:tc>
        <w:tc>
          <w:tcPr/>
          <w:p>
            <w:pPr>
              <w:pStyle w:val="Compact"/>
            </w:pPr>
            <w:r>
              <w:t xml:space="preserve">Supplier qual + quality agreement (H/M); URS + risk assess + traceability (H/M); pilot with GxP decisions + exit criteria (H/M); periodic evaluation (M/M)</w:t>
            </w:r>
          </w:p>
        </w:tc>
        <w:tc>
          <w:tcPr/>
          <w:p>
            <w:pPr>
              <w:pStyle w:val="Compact"/>
            </w:pPr>
            <w:r>
              <w:t xml:space="preserve">Supplier audit/CAPA closure; URS→test coverage %; pilot: missing-event rate, MTTR</w:t>
            </w:r>
          </w:p>
        </w:tc>
        <w:tc>
          <w:tcPr/>
          <w:p>
            <w:pPr>
              <w:pStyle w:val="Compact"/>
            </w:pPr>
            <w:r>
              <w:t xml:space="preserve">More up-front QA/CSV effort; slower scale-out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Bridging IT/OT networks</w:t>
            </w:r>
          </w:p>
        </w:tc>
        <w:tc>
          <w:tcPr/>
          <w:p>
            <w:pPr>
              <w:pStyle w:val="Compact"/>
            </w:pPr>
            <w:r>
              <w:t xml:space="preserve">Anti-drift conduit recertification (H/M); app-layer topic allowlists + least privilege (H/M); DMZ service hardening + monitoring (H/M); compromise playbook (H/M)</w:t>
            </w:r>
          </w:p>
        </w:tc>
        <w:tc>
          <w:tcPr/>
          <w:p>
            <w:pPr>
              <w:pStyle w:val="Compact"/>
            </w:pPr>
            <w:r>
              <w:t xml:space="preserve">Quarterly ruleset diff; unauthorized pub/sub attempts blocked; MTTD/MTTR</w:t>
            </w:r>
          </w:p>
        </w:tc>
        <w:tc>
          <w:tcPr/>
          <w:p>
            <w:pPr>
              <w:pStyle w:val="Compact"/>
            </w:pPr>
            <w:r>
              <w:t xml:space="preserve">Residual complexity; “rule creep” risk persists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Data-critical middleware</w:t>
            </w:r>
          </w:p>
        </w:tc>
        <w:tc>
          <w:tcPr/>
          <w:p>
            <w:pPr>
              <w:pStyle w:val="Compact"/>
            </w:pPr>
            <w:r>
              <w:t xml:space="preserve">Stack HA (Ignition/HighByte/HiveMQ) (H/H); buffering/store-forward (H/M); DR backup/restore drills (H/M); overload protection (M/M)</w:t>
            </w:r>
          </w:p>
        </w:tc>
        <w:tc>
          <w:tcPr/>
          <w:p>
            <w:pPr>
              <w:pStyle w:val="Compact"/>
            </w:pPr>
            <w:r>
              <w:t xml:space="preserve">Failover time &lt; RTO; drop/dup rate; backlog drain time; restore test pass</w:t>
            </w:r>
          </w:p>
        </w:tc>
        <w:tc>
          <w:tcPr/>
          <w:p>
            <w:pPr>
              <w:pStyle w:val="Compact"/>
            </w:pPr>
            <w:r>
              <w:t xml:space="preserve">Higher ops overhead; duplicates after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Inductive Automation limited pharma experience</w:t>
            </w:r>
          </w:p>
        </w:tc>
        <w:tc>
          <w:tcPr/>
          <w:p>
            <w:pPr>
              <w:pStyle w:val="Compact"/>
            </w:pPr>
            <w:r>
              <w:t xml:space="preserve">Vendor assessment + documented justification (M/M); Ignition hardening baseline (H/M); enable auditing + retention (H/L); redundancy + backups (H/M)</w:t>
            </w:r>
          </w:p>
        </w:tc>
        <w:tc>
          <w:tcPr/>
          <w:p>
            <w:pPr>
              <w:pStyle w:val="Compact"/>
            </w:pPr>
            <w:r>
              <w:t xml:space="preserve">Audit log sampling pass; baseline compliance %; patch lead time</w:t>
            </w:r>
          </w:p>
        </w:tc>
        <w:tc>
          <w:tcPr/>
          <w:p>
            <w:pPr>
              <w:pStyle w:val="Compact"/>
            </w:pPr>
            <w:r>
              <w:t xml:space="preserve">Perception risk; heavier evidence burden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data flow for batch record completeness</w:t>
            </w:r>
          </w:p>
        </w:tc>
        <w:tc>
          <w:tcPr/>
          <w:p>
            <w:pPr>
              <w:pStyle w:val="Compact"/>
            </w:pPr>
            <w:r>
              <w:t xml:space="preserve">Canonical model + schema versioning (H/H); reconciliation + QA exception workflow (H/H); deterministic event IDs + idempotent consumers (M/M); delivery assurance (QoS + buffering) (H/M)</w:t>
            </w:r>
          </w:p>
        </w:tc>
        <w:tc>
          <w:tcPr/>
          <w:p>
            <w:pPr>
              <w:pStyle w:val="Compact"/>
            </w:pPr>
            <w:r>
              <w:t xml:space="preserve">% batches with reconciliation exceptions; missing/late critical events; p95 latency; duplicate rate</w:t>
            </w:r>
          </w:p>
        </w:tc>
        <w:tc>
          <w:tcPr/>
          <w:p>
            <w:pPr>
              <w:pStyle w:val="Compact"/>
            </w:pPr>
            <w:r>
              <w:t xml:space="preserve">More engineering + QA workload; stricter 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IT/OT boundary understanding</w:t>
            </w:r>
          </w:p>
        </w:tc>
        <w:tc>
          <w:tcPr/>
          <w:p>
            <w:pPr>
              <w:pStyle w:val="Compact"/>
            </w:pPr>
            <w:r>
              <w:t xml:space="preserve">RACI + governance board (H/M); interface control docs (H/M); change control/release gates (H/M); periodic access recert (M/M)</w:t>
            </w:r>
          </w:p>
        </w:tc>
        <w:tc>
          <w:tcPr/>
          <w:p>
            <w:pPr>
              <w:pStyle w:val="Compact"/>
            </w:pPr>
            <w:r>
              <w:t xml:space="preserve">Change audit pass rate; emergency change count; ownership clarity survey</w:t>
            </w:r>
          </w:p>
        </w:tc>
        <w:tc>
          <w:tcPr/>
          <w:p>
            <w:pPr>
              <w:pStyle w:val="Compact"/>
            </w:pPr>
            <w:r>
              <w:t xml:space="preserve">Slower “ad hoc” integration; improved auditability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Multi-DCS integration complexity</w:t>
            </w:r>
          </w:p>
        </w:tc>
        <w:tc>
          <w:tcPr/>
          <w:p>
            <w:pPr>
              <w:pStyle w:val="Compact"/>
            </w:pPr>
            <w:r>
              <w:t xml:space="preserve">Contract tests per DCS mapping (H/H); limit/range/units validation (H/H); phased onboarding + golden datasets (M/M); schema drift monitoring (M/M)</w:t>
            </w:r>
          </w:p>
        </w:tc>
        <w:tc>
          <w:tcPr/>
          <w:p>
            <w:pPr>
              <w:pStyle w:val="Compact"/>
            </w:pPr>
            <w:r>
              <w:t xml:space="preserve">Mapping test pass %; schema drift alerts; defect escape rate</w:t>
            </w:r>
          </w:p>
        </w:tc>
        <w:tc>
          <w:tcPr/>
          <w:p>
            <w:pPr>
              <w:pStyle w:val="Compact"/>
            </w:pPr>
            <w:r>
              <w:t xml:space="preserve">Upfront modeling cost; ongoing stewardship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integrity/ALCOA requirements</w:t>
            </w:r>
          </w:p>
        </w:tc>
        <w:tc>
          <w:tcPr/>
          <w:p>
            <w:pPr>
              <w:pStyle w:val="Compact"/>
            </w:pPr>
            <w:r>
              <w:t xml:space="preserve">End-to-end audit trails + review (H/H); provenance/metadata preservation (H/H); time sync drift monitoring (H/M); no silent edits/lineage (H/M)</w:t>
            </w:r>
          </w:p>
        </w:tc>
        <w:tc>
          <w:tcPr/>
          <w:p>
            <w:pPr>
              <w:pStyle w:val="Compact"/>
            </w:pPr>
            <w:r>
              <w:t xml:space="preserve">Audit trail review completion %; provenance completeness %; time drift alarms</w:t>
            </w:r>
          </w:p>
        </w:tc>
        <w:tc>
          <w:tcPr/>
          <w:p>
            <w:pPr>
              <w:pStyle w:val="Compact"/>
            </w:pPr>
            <w:r>
              <w:t xml:space="preserve">Storage/monitoring cost; careful log/data minimization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record completeness dependency</w:t>
            </w:r>
          </w:p>
        </w:tc>
        <w:tc>
          <w:tcPr/>
          <w:p>
            <w:pPr>
              <w:pStyle w:val="Compact"/>
            </w:pPr>
            <w:r>
              <w:t xml:space="preserve">Do not rely on bus as sole record; define SoR per datum (H/H); HA+buffering (H/H); trained fallback + deviation triggers (H/M); “hold criteria” when degraded (H/M)</w:t>
            </w:r>
          </w:p>
        </w:tc>
        <w:tc>
          <w:tcPr/>
          <w:p>
            <w:pPr>
              <w:pStyle w:val="Compact"/>
            </w:pPr>
            <w:r>
              <w:t xml:space="preserve">Brownout drill success; batch exception closure time; fallback invocation trend</w:t>
            </w:r>
          </w:p>
        </w:tc>
        <w:tc>
          <w:tcPr/>
          <w:p>
            <w:pPr>
              <w:pStyle w:val="Compact"/>
            </w:pPr>
            <w:r>
              <w:t xml:space="preserve">Parallel paths add complexity; reconciliation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 validation of new platform</w:t>
            </w:r>
          </w:p>
        </w:tc>
        <w:tc>
          <w:tcPr/>
          <w:p>
            <w:pPr>
              <w:pStyle w:val="Compact"/>
            </w:pPr>
            <w:r>
              <w:t xml:space="preserve">Risk-based validation plan (H/H); URS traceability + acceptance criteria (H/H); change impact + regression automation (H/H); periodic evaluation (M/M)</w:t>
            </w:r>
          </w:p>
        </w:tc>
        <w:tc>
          <w:tcPr/>
          <w:p>
            <w:pPr>
              <w:pStyle w:val="Compact"/>
            </w:pPr>
            <w:r>
              <w:t xml:space="preserve">Traceability coverage %; % changes with impact assessment; periodic review findings trend</w:t>
            </w:r>
          </w:p>
        </w:tc>
        <w:tc>
          <w:tcPr/>
          <w:p>
            <w:pPr>
              <w:pStyle w:val="Compact"/>
            </w:pPr>
            <w:r>
              <w:t xml:space="preserve">Larger CSV/CSA workstream; slower change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Crosses DMZ between OT and IT</w:t>
            </w:r>
          </w:p>
        </w:tc>
        <w:tc>
          <w:tcPr/>
          <w:p>
            <w:pPr>
              <w:pStyle w:val="Compact"/>
            </w:pPr>
            <w:r>
              <w:t xml:space="preserve">Harden DMZ services (least functionality) (H/M); restrict admin UIs to mgmt plane (H/M); continuous monitoring + alerting (H/M)</w:t>
            </w:r>
          </w:p>
        </w:tc>
        <w:tc>
          <w:tcPr/>
          <w:p>
            <w:pPr>
              <w:pStyle w:val="Compact"/>
            </w:pPr>
            <w:r>
              <w:t xml:space="preserve">DMZ vuln scan closure time; log ingestion completeness; anomaly alert MTTD</w:t>
            </w:r>
          </w:p>
        </w:tc>
        <w:tc>
          <w:tcPr/>
          <w:p>
            <w:pPr>
              <w:pStyle w:val="Compact"/>
            </w:pPr>
            <w:r>
              <w:t xml:space="preserve">Concentrates risk in DMZ; requires disciplined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attack surface from IT/OT convergence</w:t>
            </w:r>
          </w:p>
        </w:tc>
        <w:tc>
          <w:tcPr/>
          <w:p>
            <w:pPr>
              <w:pStyle w:val="Compact"/>
            </w:pPr>
            <w:r>
              <w:t xml:space="preserve">Remove permissive broker defaults (H/L); strict authn/authz (topic ACLs) (H/M); TLS-only + protocol control (H/M); rate limits/overload protection (M/M)</w:t>
            </w:r>
          </w:p>
        </w:tc>
        <w:tc>
          <w:tcPr/>
          <w:p>
            <w:pPr>
              <w:pStyle w:val="Compact"/>
            </w:pPr>
            <w:r>
              <w:t xml:space="preserve">Unauthorized connect/pub/sub blocked; auth failure trend; overload triggers</w:t>
            </w:r>
          </w:p>
        </w:tc>
        <w:tc>
          <w:tcPr/>
          <w:p>
            <w:pPr>
              <w:pStyle w:val="Compact"/>
            </w:pPr>
            <w:r>
              <w:t xml:space="preserve">More onboarding friction; cert/ACL ops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gap (limited Ignition/HighByte expertise)</w:t>
            </w:r>
          </w:p>
        </w:tc>
        <w:tc>
          <w:tcPr/>
          <w:p>
            <w:pPr>
              <w:pStyle w:val="Compact"/>
            </w:pPr>
            <w:r>
              <w:t xml:space="preserve">Role-based training + competency (H/M); runbooks + drills (H/M); standardized templates (M/M); controlled deployments (M/M)</w:t>
            </w:r>
          </w:p>
        </w:tc>
        <w:tc>
          <w:tcPr/>
          <w:p>
            <w:pPr>
              <w:pStyle w:val="Compact"/>
            </w:pPr>
            <w:r>
              <w:t xml:space="preserve">Training completion &amp; pass rate; drill score; MTTR trend</w:t>
            </w:r>
          </w:p>
        </w:tc>
        <w:tc>
          <w:tcPr/>
          <w:p>
            <w:pPr>
              <w:pStyle w:val="Compact"/>
            </w:pPr>
            <w:r>
              <w:t xml:space="preserve">Time investment; reduced incident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Resourcing unknowns</w:t>
            </w:r>
          </w:p>
        </w:tc>
        <w:tc>
          <w:tcPr/>
          <w:p>
            <w:pPr>
              <w:pStyle w:val="Compact"/>
            </w:pPr>
            <w:r>
              <w:t xml:space="preserve">Operating model + on-call (M/M); SLOs + capacity planning (M/M); vendor escalation paths (M/M)</w:t>
            </w:r>
          </w:p>
        </w:tc>
        <w:tc>
          <w:tcPr/>
          <w:p>
            <w:pPr>
              <w:pStyle w:val="Compact"/>
            </w:pPr>
            <w:r>
              <w:t xml:space="preserve">MTTA/MTTR; SLO compliance %; capacity headroom</w:t>
            </w:r>
          </w:p>
        </w:tc>
        <w:tc>
          <w:tcPr/>
          <w:p>
            <w:pPr>
              <w:pStyle w:val="Compact"/>
            </w:pPr>
            <w:r>
              <w:t xml:space="preserve">Sustained staffing cost; improved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requirements</w:t>
            </w:r>
          </w:p>
        </w:tc>
        <w:tc>
          <w:tcPr/>
          <w:p>
            <w:pPr>
              <w:pStyle w:val="Compact"/>
            </w:pPr>
            <w:r>
              <w:t xml:space="preserve">Part 11 + data integrity training (M/M); annual refresh + change-triggered refresh (M/L); role-based access training (M/M)</w:t>
            </w:r>
          </w:p>
        </w:tc>
        <w:tc>
          <w:tcPr/>
          <w:p>
            <w:pPr>
              <w:pStyle w:val="Compact"/>
            </w:pPr>
            <w:r>
              <w:t xml:space="preserve">Training audit pass; practical assessment pass %</w:t>
            </w:r>
          </w:p>
        </w:tc>
        <w:tc>
          <w:tcPr/>
          <w:p>
            <w:pPr>
              <w:pStyle w:val="Compact"/>
            </w:pPr>
            <w:r>
              <w:t xml:space="preserve">“Checkbox” risk if not competency-based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 timeline</w:t>
            </w:r>
          </w:p>
        </w:tc>
        <w:tc>
          <w:tcPr/>
          <w:p>
            <w:pPr>
              <w:pStyle w:val="Compact"/>
            </w:pPr>
            <w:r>
              <w:t xml:space="preserve">Stage gates (pilot→scale) (M/M); de-scope noncritical flows (H/M); pre-approved baselines (M/M)</w:t>
            </w:r>
          </w:p>
        </w:tc>
        <w:tc>
          <w:tcPr/>
          <w:p>
            <w:pPr>
              <w:pStyle w:val="Compact"/>
            </w:pPr>
            <w:r>
              <w:t xml:space="preserve">Gate adherence; defect density; rework rate</w:t>
            </w:r>
          </w:p>
        </w:tc>
        <w:tc>
          <w:tcPr/>
          <w:p>
            <w:pPr>
              <w:pStyle w:val="Compact"/>
            </w:pPr>
            <w:r>
              <w:t xml:space="preserve">Slower initial scope; reduced failure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constraints</w:t>
            </w:r>
          </w:p>
        </w:tc>
        <w:tc>
          <w:tcPr/>
          <w:p>
            <w:pPr>
              <w:pStyle w:val="Compact"/>
            </w:pPr>
            <w:r>
              <w:t xml:space="preserve">Automate tests/monitoring (M/M); reuse reference patterns (M/M); limit integrations per release (M/M)</w:t>
            </w:r>
          </w:p>
        </w:tc>
        <w:tc>
          <w:tcPr/>
          <w:p>
            <w:pPr>
              <w:pStyle w:val="Compact"/>
            </w:pPr>
            <w:r>
              <w:t xml:space="preserve">Automation coverage %; backlog trend; change failure rate</w:t>
            </w:r>
          </w:p>
        </w:tc>
        <w:tc>
          <w:tcPr/>
          <w:p>
            <w:pPr>
              <w:pStyle w:val="Compact"/>
            </w:pPr>
            <w:r>
              <w:t xml:space="preserve">Upfront automation cost; lower long-term toil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support questioned</w:t>
            </w:r>
          </w:p>
        </w:tc>
        <w:tc>
          <w:tcPr/>
          <w:p>
            <w:pPr>
              <w:pStyle w:val="Compact"/>
            </w:pPr>
            <w:r>
              <w:t xml:space="preserve">SLAs + escalation drills (M/M); internal restore independence (H/M); staging/upgrade playbooks (H/M)</w:t>
            </w:r>
          </w:p>
        </w:tc>
        <w:tc>
          <w:tcPr/>
          <w:p>
            <w:pPr>
              <w:pStyle w:val="Compact"/>
            </w:pPr>
            <w:r>
              <w:t xml:space="preserve">SLA compliance; restore drill pass; patch lead time</w:t>
            </w:r>
          </w:p>
        </w:tc>
        <w:tc>
          <w:tcPr/>
          <w:p>
            <w:pPr>
              <w:pStyle w:val="Compact"/>
            </w:pPr>
            <w:r>
              <w:t xml:space="preserve">Higher contract cost; reduced outage duration</w:t>
            </w:r>
          </w:p>
        </w:tc>
      </w:tr>
    </w:tbl>
    <w:p>
      <w:pPr>
        <w:pStyle w:val="BodyText"/>
      </w:pPr>
      <w:r>
        <w:t xml:space="preserve">Regulatory and guidance basis for the above controls: EU Annex 11 (risk management, suppliers, validation, data transfer checks, backups/restore tests, periodic evaluation), FDA data integrity guidance (ALCOA, lifecycle error/omission detection, audit trail definition/review), 21 CFR Part 11.10 (access control, audit trails, training), 21 CFR 211.68 (routine checks), 21 CFR 211.188 (complete batch records), and NIST SP 800-82r3 (DMZ monitoring, adjacent-level comms, least functionality).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bookmarkEnd w:id="27"/>
    <w:bookmarkStart w:id="39" w:name="X7aff98cd112cd3ce38e0127c9de4deef0acd099"/>
    <w:p>
      <w:pPr>
        <w:pStyle w:val="Heading2"/>
      </w:pPr>
      <w:r>
        <w:t xml:space="preserve">Product-specific security and configuration anchors</w:t>
      </w:r>
    </w:p>
    <w:p>
      <w:pPr>
        <w:pStyle w:val="FirstParagraph"/>
      </w:pPr>
      <w:r>
        <w:t xml:space="preserve">Ignition (by Inductive Automation</w:t>
      </w:r>
      <w:hyperlink r:id="rId21">
        <w:r>
          <w:rPr>
            <w:rStyle w:val="Hyperlink"/>
          </w:rPr>
          <w:t xml:space="preserve">[6]</w:t>
        </w:r>
      </w:hyperlink>
      <w:r>
        <w:t xml:space="preserve">):</w:t>
      </w:r>
      <w:r>
        <w:t xml:space="preserve"> </w:t>
      </w:r>
      <w:r>
        <w:t xml:space="preserve">- Enforce HTTPS/TLS for gateway communications; the security hardening guide states this is the “first and most important step.”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br/>
      </w:r>
      <w:r>
        <w:t xml:space="preserve">- Enable audit profiles and retention appropriate to record policy; Ignition documents creating audit profiles and retention configuration.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br/>
      </w:r>
      <w:r>
        <w:t xml:space="preserve">- Use redundancy and backups where the gateway is mission-critical; Ignition documents gateway redundancy and gateway backup/restore workflows.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br/>
      </w:r>
      <w:r>
        <w:t xml:space="preserve">- Integrate with enterprise IdP (OIDC/SAML) and use Security Zones for additional policy restrictions by network origin.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HighByte:</w:t>
      </w:r>
      <w:r>
        <w:t xml:space="preserve"> </w:t>
      </w:r>
      <w:r>
        <w:t xml:space="preserve">- Eliminate insecure defaults: configuration UI defaults to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with no password; lock down immediately and restrict exposure.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br/>
      </w:r>
      <w:r>
        <w:t xml:space="preserve">- Use Users/Roles/Claims and align with enterprise RBAC.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br/>
      </w:r>
      <w:r>
        <w:t xml:space="preserve">- Prefer HTTPS and bearer token auth for REST Data Server; keep anonymous disabled unless explicitly justified.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br/>
      </w:r>
      <w:r>
        <w:t xml:space="preserve">- Use certificates for TLS to MQTT/OPC UA and manage secrets encrypted via certificate store.</w:t>
      </w:r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br/>
      </w:r>
      <w:r>
        <w:t xml:space="preserve">- Use HA mode and store-and-forward (disk-backed FIFO) for delivery assurance.</w:t>
      </w:r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HiveMQ:</w:t>
      </w:r>
      <w:r>
        <w:t xml:space="preserve"> </w:t>
      </w:r>
      <w:r>
        <w:t xml:space="preserve">- Enable TLS (prefer TLS 1.2/1.3) and recognize topic names are not protected by payload-only encryption; TLS is the primary transport control.</w:t>
      </w:r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br/>
      </w:r>
      <w:r>
        <w:t xml:space="preserve">- Use mTLS/client certs; HiveMQ provides explicit how-tos for TLS with client certificates.</w:t>
      </w:r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br/>
      </w:r>
      <w:r>
        <w:t xml:space="preserve">- Enforce authz via security extensions; remove the</w:t>
      </w:r>
      <w:r>
        <w:t xml:space="preserve"> </w:t>
      </w:r>
      <w:r>
        <w:rPr>
          <w:rStyle w:val="VerbatimChar"/>
        </w:rPr>
        <w:t xml:space="preserve">hivemq-allow-all-extension</w:t>
      </w:r>
      <w:r>
        <w:t xml:space="preserve"> </w:t>
      </w:r>
      <w:r>
        <w:t xml:space="preserve">before production and implement topic-level permissions (e.g., File RBAC).</w:t>
      </w:r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  <w:r>
        <w:br/>
      </w:r>
      <w:r>
        <w:t xml:space="preserve">- Use clustering/replicas, backups, monitoring, and overload protection for mission-critical availability.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bookmarkEnd w:id="39"/>
    <w:bookmarkStart w:id="40" w:name="risk-validations"/>
    <w:p>
      <w:pPr>
        <w:pStyle w:val="Heading2"/>
      </w:pPr>
      <w:r>
        <w:t xml:space="preserve">Risk validations</w:t>
      </w:r>
    </w:p>
    <w:p>
      <w:pPr>
        <w:pStyle w:val="FirstParagraph"/>
      </w:pPr>
      <w:r>
        <w:t xml:space="preserve">Each validation is intentionally 1–2 sentences and assumes best-practice topology/IAM; the legitimacy is primarily driven by GxP decision use, lifecycle governance, and operational resilience requirements.</w:t>
      </w:r>
    </w:p>
    <w:p>
      <w:pPr>
        <w:pStyle w:val="Compact"/>
        <w:numPr>
          <w:ilvl w:val="0"/>
          <w:numId w:val="1001"/>
        </w:numPr>
      </w:pPr>
      <w:r>
        <w:t xml:space="preserve">New OT middleware (no pharma track record): Legitimate because GxP decision data makes the Plant Bus a GMP computerized system requiring supplier oversight, validation evidence, and ongoing state-of-control—not just secure connectivity.</w:t>
      </w:r>
    </w:p>
    <w:p>
      <w:pPr>
        <w:pStyle w:val="Compact"/>
        <w:numPr>
          <w:ilvl w:val="0"/>
          <w:numId w:val="1001"/>
        </w:numPr>
      </w:pPr>
      <w:r>
        <w:t xml:space="preserve">Bridging IT/OT networks: Legitimate because the Plant Bus creates a privileged cross-zone dependency where drift or DMZ compromise can impact OT and GxP decision integrity even when core segmentation exists.</w:t>
      </w:r>
    </w:p>
    <w:p>
      <w:pPr>
        <w:pStyle w:val="Compact"/>
        <w:numPr>
          <w:ilvl w:val="0"/>
          <w:numId w:val="1001"/>
        </w:numPr>
      </w:pPr>
      <w:r>
        <w:t xml:space="preserve">Data-critical middleware: Legitimate because downtime or silent corruption directly impacts GxP decisions; resilience, backup/restore proof, and error detection must be demonstrated and monitored.</w:t>
      </w:r>
    </w:p>
    <w:p>
      <w:pPr>
        <w:pStyle w:val="Compact"/>
        <w:numPr>
          <w:ilvl w:val="0"/>
          <w:numId w:val="1001"/>
        </w:numPr>
      </w:pPr>
      <w:r>
        <w:t xml:space="preserve">Inductive Automation limited pharma experience: Legitimate because regulators expect documented supplier assessment and justification, and scrutiny increases when platform risk perception is higher.</w:t>
      </w:r>
    </w:p>
    <w:p>
      <w:pPr>
        <w:pStyle w:val="Compact"/>
        <w:numPr>
          <w:ilvl w:val="0"/>
          <w:numId w:val="1001"/>
        </w:numPr>
      </w:pPr>
      <w:r>
        <w:t xml:space="preserve">E2E data flow for batch record completeness: Legitimate because completeness/semantic correctness failures (not just security failures) can invalidate GxP decisions and batch record defensibility.</w:t>
      </w:r>
    </w:p>
    <w:p>
      <w:pPr>
        <w:pStyle w:val="Compact"/>
        <w:numPr>
          <w:ilvl w:val="0"/>
          <w:numId w:val="1001"/>
        </w:numPr>
      </w:pPr>
      <w:r>
        <w:t xml:space="preserve">IT/OT boundary understanding: Legitimate because unclear ownership/change authority creates uncontrolled change risk that undermines validated state even with good IAM.</w:t>
      </w:r>
    </w:p>
    <w:p>
      <w:pPr>
        <w:pStyle w:val="Compact"/>
        <w:numPr>
          <w:ilvl w:val="0"/>
          <w:numId w:val="1001"/>
        </w:numPr>
      </w:pPr>
      <w:r>
        <w:t xml:space="preserve">Multi-DCS integration complexity: Legitimate because heterogeneous sources increase the probability of semantic errors (units, scaling, timebases) that can mislead GxP decisions.</w:t>
      </w:r>
    </w:p>
    <w:p>
      <w:pPr>
        <w:pStyle w:val="Compact"/>
        <w:numPr>
          <w:ilvl w:val="0"/>
          <w:numId w:val="1001"/>
        </w:numPr>
      </w:pPr>
      <w:r>
        <w:t xml:space="preserve">Data integrity/ALCOA requirements: Legitimate because ALCOA requires lifecycle controls (auditability, attribution, metadata integrity) that network/IAM alone does not guarantee.</w:t>
      </w:r>
    </w:p>
    <w:p>
      <w:pPr>
        <w:pStyle w:val="Compact"/>
        <w:numPr>
          <w:ilvl w:val="0"/>
          <w:numId w:val="1001"/>
        </w:numPr>
      </w:pPr>
      <w:r>
        <w:t xml:space="preserve">Batch record completeness dependency: Legitimate because if the Plant Bus becomes a decision dependency, outages or missing data create compliance and release risk.</w:t>
      </w:r>
    </w:p>
    <w:p>
      <w:pPr>
        <w:pStyle w:val="Compact"/>
        <w:numPr>
          <w:ilvl w:val="0"/>
          <w:numId w:val="1001"/>
        </w:numPr>
      </w:pPr>
      <w:r>
        <w:t xml:space="preserve">CSA validation of new platform: Legitimate because risk-based assurance and traceable evidence are required for automated systems used in production/quality decision-making.</w:t>
      </w:r>
    </w:p>
    <w:p>
      <w:pPr>
        <w:pStyle w:val="Compact"/>
        <w:numPr>
          <w:ilvl w:val="0"/>
          <w:numId w:val="1001"/>
        </w:numPr>
      </w:pPr>
      <w:r>
        <w:t xml:space="preserve">Crosses DMZ between OT and IT: Legitimate because DMZ services concentrate risk; monitoring and hardening of DMZ-resident middleware remains critical.</w:t>
      </w:r>
    </w:p>
    <w:p>
      <w:pPr>
        <w:pStyle w:val="Compact"/>
        <w:numPr>
          <w:ilvl w:val="0"/>
          <w:numId w:val="1001"/>
        </w:numPr>
      </w:pPr>
      <w:r>
        <w:t xml:space="preserve">New attack surface from IT/OT convergence: Legitimate because new broker/APIs/admin surfaces can enable data exfiltration or poisoning unless tightened at the application layer.</w:t>
      </w:r>
    </w:p>
    <w:p>
      <w:pPr>
        <w:pStyle w:val="Compact"/>
        <w:numPr>
          <w:ilvl w:val="0"/>
          <w:numId w:val="1001"/>
        </w:numPr>
      </w:pPr>
      <w:r>
        <w:t xml:space="preserve">Skills gap: Legitimate because misconfiguration and weak operational discipline are common root causes; Part 11 and Annex 11 both imply training/competency expectations for systems affecting regulated records.</w:t>
      </w:r>
    </w:p>
    <w:p>
      <w:pPr>
        <w:pStyle w:val="Compact"/>
        <w:numPr>
          <w:ilvl w:val="0"/>
          <w:numId w:val="1001"/>
        </w:numPr>
      </w:pPr>
      <w:r>
        <w:t xml:space="preserve">Resourcing unknowns: Legitimate because sustained monitoring, patching, validation maintenance, and incident response are ongoing obligations for GMP computerized systems.</w:t>
      </w:r>
    </w:p>
    <w:p>
      <w:pPr>
        <w:pStyle w:val="Compact"/>
        <w:numPr>
          <w:ilvl w:val="0"/>
          <w:numId w:val="1001"/>
        </w:numPr>
      </w:pPr>
      <w:r>
        <w:t xml:space="preserve">Training requirements: Legitimate because personnel competency is part of the control environment; failures here create audit and operational risk.</w:t>
      </w:r>
    </w:p>
    <w:p>
      <w:pPr>
        <w:pStyle w:val="Compact"/>
        <w:numPr>
          <w:ilvl w:val="0"/>
          <w:numId w:val="1001"/>
        </w:numPr>
      </w:pPr>
      <w:r>
        <w:t xml:space="preserve">Aggressive timeline: Legitimate because validation evidence, supplier qualification, and resilience testing have minimum feasible durations regardless of how strong the network/IAM baseline is.</w:t>
      </w:r>
    </w:p>
    <w:p>
      <w:pPr>
        <w:pStyle w:val="Compact"/>
        <w:numPr>
          <w:ilvl w:val="0"/>
          <w:numId w:val="1001"/>
        </w:numPr>
      </w:pPr>
      <w:r>
        <w:t xml:space="preserve">Resource constraints: Legitimate because under-resourcing pushes teams toward skipped controls (monitoring, testing, reviews), undermining state-of-control over time.</w:t>
      </w:r>
    </w:p>
    <w:p>
      <w:pPr>
        <w:pStyle w:val="Compact"/>
        <w:numPr>
          <w:ilvl w:val="0"/>
          <w:numId w:val="1001"/>
        </w:numPr>
      </w:pPr>
      <w:r>
        <w:t xml:space="preserve">Vendor support questioned: Legitimate because support responsiveness affects outage duration and patch timelines, which impact GxP decision continuity and validated-state maintenance.</w:t>
      </w:r>
    </w:p>
    <w:p>
      <w:pPr>
        <w:pStyle w:val="FirstParagraph"/>
      </w:pPr>
      <w:r>
        <w:t xml:space="preserve">Primary references supporting these validations: EU Annex 11 (risk management, suppliers, validation, backups/restore tests, periodic evaluation), FDA data integrity guidance (ALCOA, lifecycle controls, audit trail definition/review), 21 CFR Part 11.10 (controls and training expectation), 21 CFR 211.68/211.188 (routine checks + complete batch records), and NIST SP 800-82r3 (DMZ and monitoring posture).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40"/>
    <w:bookmarkEnd w:id="41"/>
    <w:bookmarkEnd w:id="42"/>
    <w:p>
      <w:r>
        <w:pict>
          <v:rect style="width:0;height:1.5pt" o:hralign="center" o:hrstd="t" o:hr="t"/>
        </w:pict>
      </w:r>
    </w:p>
    <w:bookmarkStart w:id="4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Annex 11 Final 0910</w:t>
      </w:r>
    </w:p>
    <w:p>
      <w:pPr>
        <w:pStyle w:val="BodyText"/>
      </w:pPr>
      <w:hyperlink r:id="rId21">
        <w:r>
          <w:rPr>
            <w:rStyle w:val="Hyperlink"/>
          </w:rPr>
          <w:t xml:space="preserve">https://health.ec.europa.eu/system/files/2016-11/annex11_01-2011_en_0.pdf?utm_source=chatgpt.com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HiveMQ MQTT Broker Clusters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https://docs.hivemq.com/hivemq/latest/user-guide/cluster.html?utm_source=chatgpt.com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Guide to Operational Technology (OT) Security</w:t>
      </w:r>
    </w:p>
    <w:p>
      <w:pPr>
        <w:pStyle w:val="BodyText"/>
      </w:pPr>
      <w:hyperlink r:id="rId25">
        <w:r>
          <w:rPr>
            <w:rStyle w:val="Hyperlink"/>
          </w:rPr>
          <w:t xml:space="preserve">https://nvlpubs.nist.gov/nistpubs/SpecialPublications/NIST.SP.800-82r3.pdf?utm_source=chatgpt.com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Ignition Security Hardening Guide 8.1</w:t>
      </w:r>
    </w:p>
    <w:p>
      <w:pPr>
        <w:pStyle w:val="BodyText"/>
      </w:pPr>
      <w:hyperlink r:id="rId28">
        <w:r>
          <w:rPr>
            <w:rStyle w:val="Hyperlink"/>
          </w:rPr>
          <w:t xml:space="preserve">https://assets.inductiveautomation.com/s3fs-production/test_folder/Ignition%20Security%20Hardening%20Guide%208.1_0.pdf?utm_source=chatgpt.com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Audit Log and Profiles | Ignition User Manual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https://www.docs.inductiveautomation.com/docs/8.1/platform/audit-log-and-profiles?utm_source=chatgpt.com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Ignition Redundancy - Ignition User Manual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https://www.docs.inductiveautomation.com/docs/8.1/platform/ignition-redundancy?utm_source=chatgpt.com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Identity Provider Authentication Strategy - Ignition User Manual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https://www.docs.inductiveautomation.com/docs/8.1/platform/security/identity-provider-authentication-strategy?utm_source=chatgpt.com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Configuration | User Guide - HighByte</w:t>
      </w:r>
    </w:p>
    <w:p>
      <w:pPr>
        <w:pStyle w:val="BodyText"/>
      </w:pPr>
      <w:hyperlink r:id="rId32">
        <w:r>
          <w:rPr>
            <w:rStyle w:val="Hyperlink"/>
          </w:rPr>
          <w:t xml:space="preserve">https://guide.highbyte.com/configuration/?utm_source=chatgpt.com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Users and Roles - User Guide - HighByte</w:t>
      </w:r>
    </w:p>
    <w:p>
      <w:pPr>
        <w:pStyle w:val="BodyText"/>
      </w:pPr>
      <w:hyperlink r:id="rId33">
        <w:r>
          <w:rPr>
            <w:rStyle w:val="Hyperlink"/>
          </w:rPr>
          <w:t xml:space="preserve">https://guide.highbyte.com/configuration/administration/users_and_roles/?utm_source=chatgpt.com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REST Data Server - User Guide - HighByte</w:t>
      </w:r>
    </w:p>
    <w:p>
      <w:pPr>
        <w:pStyle w:val="BodyText"/>
      </w:pPr>
      <w:hyperlink r:id="rId34">
        <w:r>
          <w:rPr>
            <w:rStyle w:val="Hyperlink"/>
          </w:rPr>
          <w:t xml:space="preserve">https://guide.highbyte.com/configuration/servers/restdata/?utm_source=chatgpt.com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Certificates - User Guide - HighByte</w:t>
      </w:r>
    </w:p>
    <w:p>
      <w:pPr>
        <w:pStyle w:val="BodyText"/>
      </w:pPr>
      <w:hyperlink r:id="rId35">
        <w:r>
          <w:rPr>
            <w:rStyle w:val="Hyperlink"/>
          </w:rPr>
          <w:t xml:space="preserve">https://guide.highbyte.com/configuration/administration/certificates/?utm_source=chatgpt.com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High Availability | User Guide</w:t>
      </w:r>
    </w:p>
    <w:p>
      <w:pPr>
        <w:pStyle w:val="BodyText"/>
      </w:pPr>
      <w:hyperlink r:id="rId36">
        <w:r>
          <w:rPr>
            <w:rStyle w:val="Hyperlink"/>
          </w:rPr>
          <w:t xml:space="preserve">https://guide.highbyte.com/setup/high_availability/?utm_source=chatgpt.com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Security Features of HiveMQ :: HiveMQ Documentation</w:t>
      </w:r>
    </w:p>
    <w:p>
      <w:pPr>
        <w:pStyle w:val="BodyText"/>
      </w:pPr>
      <w:hyperlink r:id="rId37">
        <w:r>
          <w:rPr>
            <w:rStyle w:val="Hyperlink"/>
          </w:rPr>
          <w:t xml:space="preserve">https://docs.hivemq.com/hivemq/latest/user-guide/security.html?utm_source=chatgpt.com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HiveMQ Platform How-Tos :: HiveMQ Documentation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https://docs.hivemq.com/hivemq/latest/user-guide/howtos.html?utm_source=chatgpt.com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assets.inductiveautomation.com/s3fs-production/test_folder/Ignition%20Security%20Hardening%20Guide%208.1_0.pdf?utm_source=chatgpt.com" TargetMode="External" /><Relationship Type="http://schemas.openxmlformats.org/officeDocument/2006/relationships/hyperlink" Id="rId23" Target="https://docs.hivemq.com/hivemq/latest/user-guide/cluster.html?utm_source=chatgpt.com" TargetMode="External" /><Relationship Type="http://schemas.openxmlformats.org/officeDocument/2006/relationships/hyperlink" Id="rId38" Target="https://docs.hivemq.com/hivemq/latest/user-guide/howtos.html?utm_source=chatgpt.com" TargetMode="External" /><Relationship Type="http://schemas.openxmlformats.org/officeDocument/2006/relationships/hyperlink" Id="rId37" Target="https://docs.hivemq.com/hivemq/latest/user-guide/security.html?utm_source=chatgpt.com" TargetMode="External" /><Relationship Type="http://schemas.openxmlformats.org/officeDocument/2006/relationships/hyperlink" Id="rId32" Target="https://guide.highbyte.com/configuration/?utm_source=chatgpt.com" TargetMode="External" /><Relationship Type="http://schemas.openxmlformats.org/officeDocument/2006/relationships/hyperlink" Id="rId35" Target="https://guide.highbyte.com/configuration/administration/certificates/?utm_source=chatgpt.com" TargetMode="External" /><Relationship Type="http://schemas.openxmlformats.org/officeDocument/2006/relationships/hyperlink" Id="rId33" Target="https://guide.highbyte.com/configuration/administration/users_and_roles/?utm_source=chatgpt.com" TargetMode="External" /><Relationship Type="http://schemas.openxmlformats.org/officeDocument/2006/relationships/hyperlink" Id="rId34" Target="https://guide.highbyte.com/configuration/servers/restdata/?utm_source=chatgpt.com" TargetMode="External" /><Relationship Type="http://schemas.openxmlformats.org/officeDocument/2006/relationships/hyperlink" Id="rId36" Target="https://guide.highbyte.com/setup/high_availability/?utm_source=chatgpt.com" TargetMode="External" /><Relationship Type="http://schemas.openxmlformats.org/officeDocument/2006/relationships/hyperlink" Id="rId21" Target="https://health.ec.europa.eu/system/files/2016-11/annex11_01-2011_en_0.pdf?utm_source=chatgpt.com" TargetMode="External" /><Relationship Type="http://schemas.openxmlformats.org/officeDocument/2006/relationships/hyperlink" Id="rId25" Target="https://nvlpubs.nist.gov/nistpubs/SpecialPublications/NIST.SP.800-82r3.pdf?utm_source=chatgpt.com" TargetMode="External" /><Relationship Type="http://schemas.openxmlformats.org/officeDocument/2006/relationships/hyperlink" Id="rId29" Target="https://www.docs.inductiveautomation.com/docs/8.1/platform/audit-log-and-profiles?utm_source=chatgpt.com" TargetMode="External" /><Relationship Type="http://schemas.openxmlformats.org/officeDocument/2006/relationships/hyperlink" Id="rId30" Target="https://www.docs.inductiveautomation.com/docs/8.1/platform/ignition-redundancy?utm_source=chatgpt.com" TargetMode="External" /><Relationship Type="http://schemas.openxmlformats.org/officeDocument/2006/relationships/hyperlink" Id="rId31" Target="https://www.docs.inductiveautomation.com/docs/8.1/platform/security/identity-provider-authentication-strategy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ssets.inductiveautomation.com/s3fs-production/test_folder/Ignition%20Security%20Hardening%20Guide%208.1_0.pdf?utm_source=chatgpt.com" TargetMode="External" /><Relationship Type="http://schemas.openxmlformats.org/officeDocument/2006/relationships/hyperlink" Id="rId23" Target="https://docs.hivemq.com/hivemq/latest/user-guide/cluster.html?utm_source=chatgpt.com" TargetMode="External" /><Relationship Type="http://schemas.openxmlformats.org/officeDocument/2006/relationships/hyperlink" Id="rId38" Target="https://docs.hivemq.com/hivemq/latest/user-guide/howtos.html?utm_source=chatgpt.com" TargetMode="External" /><Relationship Type="http://schemas.openxmlformats.org/officeDocument/2006/relationships/hyperlink" Id="rId37" Target="https://docs.hivemq.com/hivemq/latest/user-guide/security.html?utm_source=chatgpt.com" TargetMode="External" /><Relationship Type="http://schemas.openxmlformats.org/officeDocument/2006/relationships/hyperlink" Id="rId32" Target="https://guide.highbyte.com/configuration/?utm_source=chatgpt.com" TargetMode="External" /><Relationship Type="http://schemas.openxmlformats.org/officeDocument/2006/relationships/hyperlink" Id="rId35" Target="https://guide.highbyte.com/configuration/administration/certificates/?utm_source=chatgpt.com" TargetMode="External" /><Relationship Type="http://schemas.openxmlformats.org/officeDocument/2006/relationships/hyperlink" Id="rId33" Target="https://guide.highbyte.com/configuration/administration/users_and_roles/?utm_source=chatgpt.com" TargetMode="External" /><Relationship Type="http://schemas.openxmlformats.org/officeDocument/2006/relationships/hyperlink" Id="rId34" Target="https://guide.highbyte.com/configuration/servers/restdata/?utm_source=chatgpt.com" TargetMode="External" /><Relationship Type="http://schemas.openxmlformats.org/officeDocument/2006/relationships/hyperlink" Id="rId36" Target="https://guide.highbyte.com/setup/high_availability/?utm_source=chatgpt.com" TargetMode="External" /><Relationship Type="http://schemas.openxmlformats.org/officeDocument/2006/relationships/hyperlink" Id="rId21" Target="https://health.ec.europa.eu/system/files/2016-11/annex11_01-2011_en_0.pdf?utm_source=chatgpt.com" TargetMode="External" /><Relationship Type="http://schemas.openxmlformats.org/officeDocument/2006/relationships/hyperlink" Id="rId25" Target="https://nvlpubs.nist.gov/nistpubs/SpecialPublications/NIST.SP.800-82r3.pdf?utm_source=chatgpt.com" TargetMode="External" /><Relationship Type="http://schemas.openxmlformats.org/officeDocument/2006/relationships/hyperlink" Id="rId29" Target="https://www.docs.inductiveautomation.com/docs/8.1/platform/audit-log-and-profiles?utm_source=chatgpt.com" TargetMode="External" /><Relationship Type="http://schemas.openxmlformats.org/officeDocument/2006/relationships/hyperlink" Id="rId30" Target="https://www.docs.inductiveautomation.com/docs/8.1/platform/ignition-redundancy?utm_source=chatgpt.com" TargetMode="External" /><Relationship Type="http://schemas.openxmlformats.org/officeDocument/2006/relationships/hyperlink" Id="rId31" Target="https://www.docs.inductiveautomation.com/docs/8.1/platform/security/identity-provider-authentication-strategy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2026-03-27T16:38:40Z</dcterms:created>
  <dcterms:modified xsi:type="dcterms:W3CDTF">2026-03-27T16:38:40Z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