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0fc42f5f4a7fea54b17bfaa1aa12289d1ad6b43"/>
    <w:p>
      <w:pPr>
        <w:pStyle w:val="Heading1"/>
      </w:pPr>
      <w:r>
        <w:t xml:space="preserve">Staffing and Operations Strategy for a Biotech Innovation Space</w:t>
      </w:r>
    </w:p>
    <w:bookmarkStart w:id="25" w:name="context-and-objectives"/>
    <w:p>
      <w:pPr>
        <w:pStyle w:val="Heading2"/>
      </w:pPr>
      <w:r>
        <w:t xml:space="preserve">Context and Objectives</w:t>
      </w:r>
    </w:p>
    <w:p>
      <w:pPr>
        <w:pStyle w:val="FirstParagraph"/>
      </w:pPr>
      <w:r>
        <w:t xml:space="preserve">A global biotech company with ~10,000 employees wants an innovation space that mirrors the functions that will eventually adopt the innovations. The space should therefore support both exploration of new technologies and operationalization of proven concepts.</w:t>
      </w:r>
    </w:p>
    <w:p>
      <w:pPr>
        <w:pStyle w:val="BodyText"/>
      </w:pPr>
      <w:r>
        <w:t xml:space="preserve">Two complementary functions are proposed:</w:t>
      </w:r>
    </w:p>
    <w:p>
      <w:pPr>
        <w:numPr>
          <w:ilvl w:val="0"/>
          <w:numId w:val="1001"/>
        </w:numPr>
      </w:pPr>
      <w:r>
        <w:rPr>
          <w:b/>
          <w:bCs/>
        </w:rPr>
        <w:t xml:space="preserve">Exploratory funnel</w:t>
      </w:r>
      <w:r>
        <w:t xml:space="preserve"> </w:t>
      </w:r>
      <w:r>
        <w:t xml:space="preserve">– a forward‑looking team that scans emerging technologies, experiments with small minimum viable products (MVPs) and generates research/knowledge artifacts. Bounteous notes that effective innovation teams comprise an innovation lead and a</w:t>
      </w:r>
      <w:r>
        <w:t xml:space="preserve"> </w:t>
      </w:r>
      <w:r>
        <w:rPr>
          <w:b/>
          <w:bCs/>
        </w:rPr>
        <w:t xml:space="preserve">cross‑functional group of innovators</w:t>
      </w:r>
      <w:r>
        <w:t xml:space="preserve"> </w:t>
      </w:r>
      <w:r>
        <w:t xml:space="preserve">drawn from different departments</w:t>
      </w:r>
      <w:hyperlink r:id="rId21">
        <w:r>
          <w:rPr>
            <w:rStyle w:val="Hyperlink"/>
          </w:rPr>
          <w:t xml:space="preserve">[1]</w:t>
        </w:r>
      </w:hyperlink>
      <w:r>
        <w:t xml:space="preserve">. Lean product‑development research further shows that MVP teams are small (often a</w:t>
      </w:r>
      <w:r>
        <w:t xml:space="preserve"> </w:t>
      </w:r>
      <w:r>
        <w:rPr>
          <w:b/>
          <w:bCs/>
        </w:rPr>
        <w:t xml:space="preserve">product manager, product designer and 2+ engineers</w:t>
      </w:r>
      <w:r>
        <w:t xml:space="preserve">) and kept under seven people to maintain agility and rapid iterations (the “two‑pizza team” rule)</w:t>
      </w:r>
      <w:hyperlink r:id="rId22">
        <w:r>
          <w:rPr>
            <w:rStyle w:val="Hyperlink"/>
          </w:rPr>
          <w:t xml:space="preserve">[2]</w:t>
        </w:r>
      </w:hyperlink>
      <w:r>
        <w:t xml:space="preserve">. This exploratory funnel should build proof‑of‑concept (POC) digital tools and capture lessons learned.</w:t>
      </w:r>
    </w:p>
    <w:p>
      <w:pPr>
        <w:numPr>
          <w:ilvl w:val="0"/>
          <w:numId w:val="1001"/>
        </w:numPr>
      </w:pPr>
      <w:r>
        <w:rPr>
          <w:b/>
          <w:bCs/>
        </w:rPr>
        <w:t xml:space="preserve">Operationalization/playbook function</w:t>
      </w:r>
      <w:r>
        <w:t xml:space="preserve"> </w:t>
      </w:r>
      <w:r>
        <w:t xml:space="preserve">– a second team responsible for turning validated ideas into repeatable tactics. In the biotech industry the quality management system (QMS) integrates research, manufacturing, regulatory and supply‑chain activities; every function contributes to quality</w:t>
      </w:r>
      <w:hyperlink r:id="rId23">
        <w:r>
          <w:rPr>
            <w:rStyle w:val="Hyperlink"/>
          </w:rPr>
          <w:t xml:space="preserve">[3]</w:t>
        </w:r>
      </w:hyperlink>
      <w:r>
        <w:t xml:space="preserve">. Core functions include executive management (policy and resources), quality assurance (oversight of deviations, batch records and training), quality control (lab testing), regulatory affairs (regulatory submissions and compliance), manufacturing/operations (executing validated procedures), R&amp;D (maintaining design control), supply chain/procurement and IT/systems management</w:t>
      </w:r>
      <w:hyperlink r:id="rId23">
        <w:r>
          <w:rPr>
            <w:rStyle w:val="Hyperlink"/>
          </w:rPr>
          <w:t xml:space="preserve">[3]</w:t>
        </w:r>
      </w:hyperlink>
      <w:r>
        <w:t xml:space="preserve">. Biotech product core teams similarly bring together R&amp;D, regulatory, manufacturing, quality assurance, marketing and finance</w:t>
      </w:r>
      <w:hyperlink r:id="rId24">
        <w:r>
          <w:rPr>
            <w:rStyle w:val="Hyperlink"/>
          </w:rPr>
          <w:t xml:space="preserve">[4]</w:t>
        </w:r>
      </w:hyperlink>
      <w:r>
        <w:t xml:space="preserve">. This operationalization team should turn exploratory outputs into a playbook, develop standard operating procedures (SOPs) and ensure compliance with the QMS.</w:t>
      </w:r>
    </w:p>
    <w:bookmarkEnd w:id="25"/>
    <w:bookmarkStart w:id="31" w:name="staffing-and-team-composition"/>
    <w:p>
      <w:pPr>
        <w:pStyle w:val="Heading2"/>
      </w:pPr>
      <w:r>
        <w:t xml:space="preserve">Staffing and Team Composition</w:t>
      </w:r>
    </w:p>
    <w:bookmarkStart w:id="27" w:name="exploratory-funnel"/>
    <w:p>
      <w:pPr>
        <w:pStyle w:val="Heading3"/>
      </w:pPr>
      <w:r>
        <w:t xml:space="preserve">Exploratory funnel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Role/Skill</w:t>
            </w:r>
          </w:p>
        </w:tc>
        <w:tc>
          <w:tcPr/>
          <w:p>
            <w:pPr>
              <w:pStyle w:val="Compact"/>
            </w:pPr>
            <w:r>
              <w:t xml:space="preserve">Purpose</w:t>
            </w:r>
          </w:p>
        </w:tc>
        <w:tc>
          <w:tcPr/>
          <w:p>
            <w:pPr>
              <w:pStyle w:val="Compact"/>
            </w:pPr>
            <w:r>
              <w:t xml:space="preserve">Estimated number (FTEs)</w:t>
            </w:r>
          </w:p>
        </w:tc>
        <w:tc>
          <w:tcPr/>
          <w:p>
            <w:pPr>
              <w:pStyle w:val="Compact"/>
            </w:pPr>
            <w:r>
              <w:t xml:space="preserve">Rationale</w:t>
            </w:r>
          </w:p>
        </w:tc>
      </w:tr>
      <w:tr>
        <w:tc>
          <w:tcPr/>
          <w:p>
            <w:pPr>
              <w:pStyle w:val="Compact"/>
            </w:pPr>
            <w:r>
              <w:rPr>
                <w:b/>
                <w:bCs/>
              </w:rPr>
              <w:t xml:space="preserve">Innovation lead/manager</w:t>
            </w:r>
          </w:p>
        </w:tc>
        <w:tc>
          <w:tcPr/>
          <w:p>
            <w:pPr>
              <w:pStyle w:val="Compact"/>
            </w:pPr>
            <w:r>
              <w:t xml:space="preserve">Sets strategy, facilitates communication and links exploration to business leadership</w:t>
            </w:r>
            <w:hyperlink r:id="rId21">
              <w:r>
                <w:rPr>
                  <w:rStyle w:val="Hyperlink"/>
                </w:rPr>
                <w:t xml:space="preserve">[5]</w:t>
              </w:r>
            </w:hyperlink>
            <w:r>
              <w:t xml:space="preserve">.</w:t>
            </w:r>
          </w:p>
        </w:tc>
        <w:tc>
          <w:tcPr/>
          <w:p>
            <w:pPr>
              <w:pStyle w:val="Compact"/>
            </w:pPr>
            <w:r>
              <w:t xml:space="preserve">1</w:t>
            </w:r>
          </w:p>
        </w:tc>
        <w:tc>
          <w:tcPr/>
          <w:p>
            <w:pPr>
              <w:pStyle w:val="Compact"/>
            </w:pPr>
            <w:r>
              <w:t xml:space="preserve">Guides the funnel and ensures outputs align with enterprise goals.</w:t>
            </w:r>
          </w:p>
        </w:tc>
      </w:tr>
      <w:tr>
        <w:tc>
          <w:tcPr/>
          <w:p>
            <w:pPr>
              <w:pStyle w:val="Compact"/>
            </w:pPr>
            <w:r>
              <w:rPr>
                <w:b/>
                <w:bCs/>
              </w:rPr>
              <w:t xml:space="preserve">Technology scouts / trend analysts</w:t>
            </w:r>
          </w:p>
        </w:tc>
        <w:tc>
          <w:tcPr/>
          <w:p>
            <w:pPr>
              <w:pStyle w:val="Compact"/>
            </w:pPr>
            <w:r>
              <w:t xml:space="preserve">Monitor external trends, digital health solutions, AI, automation and new materials.</w:t>
            </w:r>
          </w:p>
        </w:tc>
        <w:tc>
          <w:tcPr/>
          <w:p>
            <w:pPr>
              <w:pStyle w:val="Compact"/>
            </w:pPr>
            <w:r>
              <w:t xml:space="preserve">2</w:t>
            </w:r>
          </w:p>
        </w:tc>
        <w:tc>
          <w:tcPr/>
          <w:p>
            <w:pPr>
              <w:pStyle w:val="Compact"/>
            </w:pPr>
            <w:r>
              <w:t xml:space="preserve">A cross‑industry review found that innovation labs rely heavily on digital research and trend scanning</w:t>
            </w:r>
            <w:hyperlink r:id="rId26">
              <w:r>
                <w:rPr>
                  <w:rStyle w:val="Hyperlink"/>
                </w:rPr>
                <w:t xml:space="preserve">[6]</w:t>
              </w:r>
            </w:hyperlink>
            <w:r>
              <w:t xml:space="preserve">.</w:t>
            </w:r>
          </w:p>
        </w:tc>
      </w:tr>
      <w:tr>
        <w:tc>
          <w:tcPr/>
          <w:p>
            <w:pPr>
              <w:pStyle w:val="Compact"/>
            </w:pPr>
            <w:r>
              <w:rPr>
                <w:b/>
                <w:bCs/>
              </w:rPr>
              <w:t xml:space="preserve">Product manager / business analyst</w:t>
            </w:r>
          </w:p>
        </w:tc>
        <w:tc>
          <w:tcPr/>
          <w:p>
            <w:pPr>
              <w:pStyle w:val="Compact"/>
            </w:pPr>
            <w:r>
              <w:t xml:space="preserve">Defines problem statements, manages backlog, coordinates MVP development and measures success.</w:t>
            </w:r>
          </w:p>
        </w:tc>
        <w:tc>
          <w:tcPr/>
          <w:p>
            <w:pPr>
              <w:pStyle w:val="Compact"/>
            </w:pPr>
            <w:r>
              <w:t xml:space="preserve">1</w:t>
            </w:r>
          </w:p>
        </w:tc>
        <w:tc>
          <w:tcPr/>
          <w:p>
            <w:pPr>
              <w:pStyle w:val="Compact"/>
            </w:pPr>
            <w:r>
              <w:t xml:space="preserve">Product‑development literature emphasises at least one product manager per squad</w:t>
            </w:r>
            <w:hyperlink r:id="rId22">
              <w:r>
                <w:rPr>
                  <w:rStyle w:val="Hyperlink"/>
                </w:rPr>
                <w:t xml:space="preserve">[2]</w:t>
              </w:r>
            </w:hyperlink>
            <w:r>
              <w:t xml:space="preserve">.</w:t>
            </w:r>
          </w:p>
        </w:tc>
      </w:tr>
      <w:tr>
        <w:tc>
          <w:tcPr/>
          <w:p>
            <w:pPr>
              <w:pStyle w:val="Compact"/>
            </w:pPr>
            <w:r>
              <w:rPr>
                <w:b/>
                <w:bCs/>
              </w:rPr>
              <w:t xml:space="preserve">Data scientists / machine‑learning engineers</w:t>
            </w:r>
          </w:p>
        </w:tc>
        <w:tc>
          <w:tcPr/>
          <w:p>
            <w:pPr>
              <w:pStyle w:val="Compact"/>
            </w:pPr>
            <w:r>
              <w:t xml:space="preserve">Experiment with data‑driven approaches (e.g., predictive analytics, AI models) and build prototypes.</w:t>
            </w:r>
          </w:p>
        </w:tc>
        <w:tc>
          <w:tcPr/>
          <w:p>
            <w:pPr>
              <w:pStyle w:val="Compact"/>
            </w:pPr>
            <w:r>
              <w:t xml:space="preserve">2</w:t>
            </w:r>
          </w:p>
        </w:tc>
        <w:tc>
          <w:tcPr/>
          <w:p>
            <w:pPr>
              <w:pStyle w:val="Compact"/>
            </w:pPr>
            <w:r>
              <w:t xml:space="preserve">Emerging technologies often involve data‑intensive solutions; at least two specialists provide redundancy and complementary skills.</w:t>
            </w:r>
          </w:p>
        </w:tc>
      </w:tr>
      <w:tr>
        <w:tc>
          <w:tcPr/>
          <w:p>
            <w:pPr>
              <w:pStyle w:val="Compact"/>
            </w:pPr>
            <w:r>
              <w:rPr>
                <w:b/>
                <w:bCs/>
              </w:rPr>
              <w:t xml:space="preserve">Software engineers / full‑stack developers</w:t>
            </w:r>
          </w:p>
        </w:tc>
        <w:tc>
          <w:tcPr/>
          <w:p>
            <w:pPr>
              <w:pStyle w:val="Compact"/>
            </w:pPr>
            <w:r>
              <w:t xml:space="preserve">Build rapid MVPs and prototypes with modern frameworks, ensuring scalability for later hand‑off.</w:t>
            </w:r>
          </w:p>
        </w:tc>
        <w:tc>
          <w:tcPr/>
          <w:p>
            <w:pPr>
              <w:pStyle w:val="Compact"/>
            </w:pPr>
            <w:r>
              <w:t xml:space="preserve">3–4</w:t>
            </w:r>
          </w:p>
        </w:tc>
        <w:tc>
          <w:tcPr/>
          <w:p>
            <w:pPr>
              <w:pStyle w:val="Compact"/>
            </w:pPr>
            <w:r>
              <w:t xml:space="preserve">Small product teams typically include two or more engineers</w:t>
            </w:r>
            <w:hyperlink r:id="rId22">
              <w:r>
                <w:rPr>
                  <w:rStyle w:val="Hyperlink"/>
                </w:rPr>
                <w:t xml:space="preserve">[2]</w:t>
              </w:r>
            </w:hyperlink>
            <w:r>
              <w:t xml:space="preserve">. Multiple engineers enable parallel development and knowledge sharing.</w:t>
            </w:r>
          </w:p>
        </w:tc>
      </w:tr>
      <w:tr>
        <w:tc>
          <w:tcPr/>
          <w:p>
            <w:pPr>
              <w:pStyle w:val="Compact"/>
            </w:pPr>
            <w:r>
              <w:rPr>
                <w:b/>
                <w:bCs/>
              </w:rPr>
              <w:t xml:space="preserve">UX researcher / designer</w:t>
            </w:r>
          </w:p>
        </w:tc>
        <w:tc>
          <w:tcPr/>
          <w:p>
            <w:pPr>
              <w:pStyle w:val="Compact"/>
            </w:pPr>
            <w:r>
              <w:t xml:space="preserve">Conduct user research, design interfaces and ensure prototypes solve real user problems.</w:t>
            </w:r>
          </w:p>
        </w:tc>
        <w:tc>
          <w:tcPr/>
          <w:p>
            <w:pPr>
              <w:pStyle w:val="Compact"/>
            </w:pPr>
            <w:r>
              <w:t xml:space="preserve">1</w:t>
            </w:r>
          </w:p>
        </w:tc>
        <w:tc>
          <w:tcPr/>
          <w:p>
            <w:pPr>
              <w:pStyle w:val="Compact"/>
            </w:pPr>
            <w:r>
              <w:t xml:space="preserve">A small dedicated designer supports user‑centric design and testing.</w:t>
            </w:r>
          </w:p>
        </w:tc>
      </w:tr>
      <w:tr>
        <w:tc>
          <w:tcPr/>
          <w:p>
            <w:pPr>
              <w:pStyle w:val="Compact"/>
            </w:pPr>
            <w:r>
              <w:rPr>
                <w:b/>
                <w:bCs/>
              </w:rPr>
              <w:t xml:space="preserve">Domain experts (R&amp;D, regulatory, manufacturing)</w:t>
            </w:r>
          </w:p>
        </w:tc>
        <w:tc>
          <w:tcPr/>
          <w:p>
            <w:pPr>
              <w:pStyle w:val="Compact"/>
            </w:pPr>
            <w:r>
              <w:t xml:space="preserve">Rotational subject‑matter experts who ensure prototypes consider scientific feasibility, regulatory constraints and operational realities.</w:t>
            </w:r>
          </w:p>
        </w:tc>
        <w:tc>
          <w:tcPr/>
          <w:p>
            <w:pPr>
              <w:pStyle w:val="Compact"/>
            </w:pPr>
            <w:r>
              <w:t xml:space="preserve">2 (rotational)</w:t>
            </w:r>
          </w:p>
        </w:tc>
        <w:tc>
          <w:tcPr/>
          <w:p>
            <w:pPr>
              <w:pStyle w:val="Compact"/>
            </w:pPr>
            <w:r>
              <w:t xml:space="preserve">In biotech, product teams integrate R&amp;D, regulatory and manufacturing expertise</w:t>
            </w:r>
            <w:hyperlink r:id="rId24">
              <w:r>
                <w:rPr>
                  <w:rStyle w:val="Hyperlink"/>
                </w:rPr>
                <w:t xml:space="preserve">[4]</w:t>
              </w:r>
            </w:hyperlink>
            <w:r>
              <w:t xml:space="preserve">; rotating experts provide feedback without dedicating full‑time resources.</w:t>
            </w:r>
          </w:p>
        </w:tc>
      </w:tr>
      <w:tr>
        <w:tc>
          <w:tcPr/>
          <w:p>
            <w:pPr>
              <w:pStyle w:val="Compact"/>
            </w:pPr>
            <w:r>
              <w:rPr>
                <w:b/>
                <w:bCs/>
              </w:rPr>
              <w:t xml:space="preserve">Security &amp; compliance advisor</w:t>
            </w:r>
          </w:p>
        </w:tc>
        <w:tc>
          <w:tcPr/>
          <w:p>
            <w:pPr>
              <w:pStyle w:val="Compact"/>
            </w:pPr>
            <w:r>
              <w:t xml:space="preserve">Ensures prototypes address data privacy, GxP standards and cybersecurity.</w:t>
            </w:r>
          </w:p>
        </w:tc>
        <w:tc>
          <w:tcPr/>
          <w:p>
            <w:pPr>
              <w:pStyle w:val="Compact"/>
            </w:pPr>
            <w:r>
              <w:t xml:space="preserve">1 (part‑time)</w:t>
            </w:r>
          </w:p>
        </w:tc>
        <w:tc>
          <w:tcPr/>
          <w:p>
            <w:pPr>
              <w:pStyle w:val="Compact"/>
            </w:pPr>
            <w:r>
              <w:t xml:space="preserve">Early awareness of compliance reduces rework when moving to production.</w:t>
            </w:r>
          </w:p>
        </w:tc>
      </w:tr>
    </w:tbl>
    <w:p>
      <w:pPr>
        <w:pStyle w:val="BodyText"/>
      </w:pPr>
      <w:r>
        <w:rPr>
          <w:i/>
          <w:iCs/>
        </w:rPr>
        <w:t xml:space="preserve">Total FTEs</w:t>
      </w:r>
      <w:r>
        <w:t xml:space="preserve">:</w:t>
      </w:r>
      <w:r>
        <w:t xml:space="preserve"> </w:t>
      </w:r>
      <w:r>
        <w:rPr>
          <w:b/>
          <w:bCs/>
        </w:rPr>
        <w:t xml:space="preserve">~12–15</w:t>
      </w:r>
      <w:r>
        <w:t xml:space="preserve"> </w:t>
      </w:r>
      <w:r>
        <w:t xml:space="preserve">individuals. The numbers reflect small agile squads recommended in product‑development literature</w:t>
      </w:r>
      <w:hyperlink r:id="rId22">
        <w:r>
          <w:rPr>
            <w:rStyle w:val="Hyperlink"/>
          </w:rPr>
          <w:t xml:space="preserve">[2]</w:t>
        </w:r>
      </w:hyperlink>
      <w:r>
        <w:t xml:space="preserve"> </w:t>
      </w:r>
      <w:r>
        <w:t xml:space="preserve">and cross‑functional representation</w:t>
      </w:r>
      <w:hyperlink r:id="rId21">
        <w:r>
          <w:rPr>
            <w:rStyle w:val="Hyperlink"/>
          </w:rPr>
          <w:t xml:space="preserve">[1]</w:t>
        </w:r>
      </w:hyperlink>
      <w:r>
        <w:t xml:space="preserve">. With a 10,000‑employee organization, dedicating ~0.1–0.15 % of staff to exploratory innovation provides sufficient capacity without affecting core operations.</w:t>
      </w:r>
    </w:p>
    <w:bookmarkEnd w:id="27"/>
    <w:bookmarkStart w:id="30" w:name="operationalization-playbook-team"/>
    <w:p>
      <w:pPr>
        <w:pStyle w:val="Heading3"/>
      </w:pPr>
      <w:r>
        <w:t xml:space="preserve">Operationalization / playbook team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Role/Skill</w:t>
            </w:r>
          </w:p>
        </w:tc>
        <w:tc>
          <w:tcPr/>
          <w:p>
            <w:pPr>
              <w:pStyle w:val="Compact"/>
            </w:pPr>
            <w:r>
              <w:t xml:space="preserve">Purpose</w:t>
            </w:r>
          </w:p>
        </w:tc>
        <w:tc>
          <w:tcPr/>
          <w:p>
            <w:pPr>
              <w:pStyle w:val="Compact"/>
            </w:pPr>
            <w:r>
              <w:t xml:space="preserve">Estimated number (FTEs)</w:t>
            </w:r>
          </w:p>
        </w:tc>
        <w:tc>
          <w:tcPr/>
          <w:p>
            <w:pPr>
              <w:pStyle w:val="Compact"/>
            </w:pPr>
            <w:r>
              <w:t xml:space="preserve">Rationale</w:t>
            </w:r>
          </w:p>
        </w:tc>
      </w:tr>
      <w:tr>
        <w:tc>
          <w:tcPr/>
          <w:p>
            <w:pPr>
              <w:pStyle w:val="Compact"/>
            </w:pPr>
            <w:r>
              <w:rPr>
                <w:b/>
                <w:bCs/>
              </w:rPr>
              <w:t xml:space="preserve">Program lead / playbook architect</w:t>
            </w:r>
          </w:p>
        </w:tc>
        <w:tc>
          <w:tcPr/>
          <w:p>
            <w:pPr>
              <w:pStyle w:val="Compact"/>
            </w:pPr>
            <w:r>
              <w:t xml:space="preserve">Oversees transition of validated concepts to business units, prioritizes initiatives and manages resources.</w:t>
            </w:r>
          </w:p>
        </w:tc>
        <w:tc>
          <w:tcPr/>
          <w:p>
            <w:pPr>
              <w:pStyle w:val="Compact"/>
            </w:pPr>
            <w:r>
              <w:t xml:space="preserve">1</w:t>
            </w:r>
          </w:p>
        </w:tc>
        <w:tc>
          <w:tcPr/>
          <w:p>
            <w:pPr>
              <w:pStyle w:val="Compact"/>
            </w:pPr>
            <w:r>
              <w:t xml:space="preserve">Provides direction and maintains alignment with corporate strategy.</w:t>
            </w:r>
          </w:p>
        </w:tc>
      </w:tr>
      <w:tr>
        <w:tc>
          <w:tcPr/>
          <w:p>
            <w:pPr>
              <w:pStyle w:val="Compact"/>
            </w:pPr>
            <w:r>
              <w:rPr>
                <w:b/>
                <w:bCs/>
              </w:rPr>
              <w:t xml:space="preserve">Quality assurance (QA) specialist(s)</w:t>
            </w:r>
          </w:p>
        </w:tc>
        <w:tc>
          <w:tcPr/>
          <w:p>
            <w:pPr>
              <w:pStyle w:val="Compact"/>
            </w:pPr>
            <w:r>
              <w:t xml:space="preserve">Own oversight of controlled processes, review deviations, training and CAPA management</w:t>
            </w:r>
            <w:hyperlink r:id="rId23">
              <w:r>
                <w:rPr>
                  <w:rStyle w:val="Hyperlink"/>
                </w:rPr>
                <w:t xml:space="preserve">[3]</w:t>
              </w:r>
            </w:hyperlink>
            <w:r>
              <w:t xml:space="preserve">.</w:t>
            </w:r>
          </w:p>
        </w:tc>
        <w:tc>
          <w:tcPr/>
          <w:p>
            <w:pPr>
              <w:pStyle w:val="Compact"/>
            </w:pPr>
            <w:r>
              <w:t xml:space="preserve">2</w:t>
            </w:r>
          </w:p>
        </w:tc>
        <w:tc>
          <w:tcPr/>
          <w:p>
            <w:pPr>
              <w:pStyle w:val="Compact"/>
            </w:pPr>
            <w:r>
              <w:t xml:space="preserve">Multiple QA specialists handle documentation, training and inspection readiness across projects.</w:t>
            </w:r>
          </w:p>
        </w:tc>
      </w:tr>
      <w:tr>
        <w:tc>
          <w:tcPr/>
          <w:p>
            <w:pPr>
              <w:pStyle w:val="Compact"/>
            </w:pPr>
            <w:r>
              <w:rPr>
                <w:b/>
                <w:bCs/>
              </w:rPr>
              <w:t xml:space="preserve">Process engineer / operations analyst</w:t>
            </w:r>
          </w:p>
        </w:tc>
        <w:tc>
          <w:tcPr/>
          <w:p>
            <w:pPr>
              <w:pStyle w:val="Compact"/>
            </w:pPr>
            <w:r>
              <w:t xml:space="preserve">Translate prototypes into scalable processes, develop SOPs and work instructions, and align with manufacturing capabilities.</w:t>
            </w:r>
          </w:p>
        </w:tc>
        <w:tc>
          <w:tcPr/>
          <w:p>
            <w:pPr>
              <w:pStyle w:val="Compact"/>
            </w:pPr>
            <w:r>
              <w:t xml:space="preserve">2</w:t>
            </w:r>
          </w:p>
        </w:tc>
        <w:tc>
          <w:tcPr/>
          <w:p>
            <w:pPr>
              <w:pStyle w:val="Compact"/>
            </w:pPr>
            <w:r>
              <w:t xml:space="preserve">Ensure new workflows can be executed reliably and integrated into existing manufacturing lines.</w:t>
            </w:r>
          </w:p>
        </w:tc>
      </w:tr>
      <w:tr>
        <w:tc>
          <w:tcPr/>
          <w:p>
            <w:pPr>
              <w:pStyle w:val="Compact"/>
            </w:pPr>
            <w:r>
              <w:rPr>
                <w:b/>
                <w:bCs/>
              </w:rPr>
              <w:t xml:space="preserve">Regulatory affairs lead</w:t>
            </w:r>
          </w:p>
        </w:tc>
        <w:tc>
          <w:tcPr/>
          <w:p>
            <w:pPr>
              <w:pStyle w:val="Compact"/>
            </w:pPr>
            <w:r>
              <w:t xml:space="preserve">Guides submissions and regulatory compliance, monitors changes in regulations and maintains licenses</w:t>
            </w:r>
            <w:hyperlink r:id="rId23">
              <w:r>
                <w:rPr>
                  <w:rStyle w:val="Hyperlink"/>
                </w:rPr>
                <w:t xml:space="preserve">[3]</w:t>
              </w:r>
            </w:hyperlink>
            <w:r>
              <w:t xml:space="preserve">.</w:t>
            </w:r>
          </w:p>
        </w:tc>
        <w:tc>
          <w:tcPr/>
          <w:p>
            <w:pPr>
              <w:pStyle w:val="Compact"/>
            </w:pPr>
            <w:r>
              <w:t xml:space="preserve">1</w:t>
            </w:r>
          </w:p>
        </w:tc>
        <w:tc>
          <w:tcPr/>
          <w:p>
            <w:pPr>
              <w:pStyle w:val="Compact"/>
            </w:pPr>
            <w:r>
              <w:t xml:space="preserve">Early regulatory involvement prevents compliance gaps during scale‑up.</w:t>
            </w:r>
          </w:p>
        </w:tc>
      </w:tr>
      <w:tr>
        <w:tc>
          <w:tcPr/>
          <w:p>
            <w:pPr>
              <w:pStyle w:val="Compact"/>
            </w:pPr>
            <w:r>
              <w:rPr>
                <w:b/>
                <w:bCs/>
              </w:rPr>
              <w:t xml:space="preserve">Quality control (QC) / testing specialist</w:t>
            </w:r>
          </w:p>
        </w:tc>
        <w:tc>
          <w:tcPr/>
          <w:p>
            <w:pPr>
              <w:pStyle w:val="Compact"/>
            </w:pPr>
            <w:r>
              <w:t xml:space="preserve">Define and perform validation testing (software and lab), manage lab data integrity and method validation</w:t>
            </w:r>
            <w:hyperlink r:id="rId23">
              <w:r>
                <w:rPr>
                  <w:rStyle w:val="Hyperlink"/>
                </w:rPr>
                <w:t xml:space="preserve">[3]</w:t>
              </w:r>
            </w:hyperlink>
            <w:r>
              <w:t xml:space="preserve">.</w:t>
            </w:r>
          </w:p>
        </w:tc>
        <w:tc>
          <w:tcPr/>
          <w:p>
            <w:pPr>
              <w:pStyle w:val="Compact"/>
            </w:pPr>
            <w:r>
              <w:t xml:space="preserve">1</w:t>
            </w:r>
          </w:p>
        </w:tc>
        <w:tc>
          <w:tcPr/>
          <w:p>
            <w:pPr>
              <w:pStyle w:val="Compact"/>
            </w:pPr>
            <w:r>
              <w:t xml:space="preserve">Ensures digital tools meet quality standards before deployment.</w:t>
            </w:r>
          </w:p>
        </w:tc>
      </w:tr>
      <w:tr>
        <w:tc>
          <w:tcPr/>
          <w:p>
            <w:pPr>
              <w:pStyle w:val="Compact"/>
            </w:pPr>
            <w:r>
              <w:rPr>
                <w:b/>
                <w:bCs/>
              </w:rPr>
              <w:t xml:space="preserve">Training &amp; change‑management specialist</w:t>
            </w:r>
          </w:p>
        </w:tc>
        <w:tc>
          <w:tcPr/>
          <w:p>
            <w:pPr>
              <w:pStyle w:val="Compact"/>
            </w:pPr>
            <w:r>
              <w:t xml:space="preserve">Develop training materials and change‑management plans for business units adopting new tools or processes.</w:t>
            </w:r>
          </w:p>
        </w:tc>
        <w:tc>
          <w:tcPr/>
          <w:p>
            <w:pPr>
              <w:pStyle w:val="Compact"/>
            </w:pPr>
            <w:r>
              <w:t xml:space="preserve">1</w:t>
            </w:r>
          </w:p>
        </w:tc>
        <w:tc>
          <w:tcPr/>
          <w:p>
            <w:pPr>
              <w:pStyle w:val="Compact"/>
            </w:pPr>
            <w:r>
              <w:t xml:space="preserve">Facilitates user adoption and reduces resistance.</w:t>
            </w:r>
          </w:p>
        </w:tc>
      </w:tr>
      <w:tr>
        <w:tc>
          <w:tcPr/>
          <w:p>
            <w:pPr>
              <w:pStyle w:val="Compact"/>
            </w:pPr>
            <w:r>
              <w:rPr>
                <w:b/>
                <w:bCs/>
              </w:rPr>
              <w:t xml:space="preserve">IT / systems integration engineer</w:t>
            </w:r>
          </w:p>
        </w:tc>
        <w:tc>
          <w:tcPr/>
          <w:p>
            <w:pPr>
              <w:pStyle w:val="Compact"/>
            </w:pPr>
            <w:r>
              <w:t xml:space="preserve">Integrate new digital solutions into existing enterprise systems (ERP, LIMS, eQMS) and maintain validated platforms</w:t>
            </w:r>
            <w:hyperlink r:id="rId28">
              <w:r>
                <w:rPr>
                  <w:rStyle w:val="Hyperlink"/>
                </w:rPr>
                <w:t xml:space="preserve">[7]</w:t>
              </w:r>
            </w:hyperlink>
            <w:r>
              <w:t xml:space="preserve">.</w:t>
            </w:r>
          </w:p>
        </w:tc>
        <w:tc>
          <w:tcPr/>
          <w:p>
            <w:pPr>
              <w:pStyle w:val="Compact"/>
            </w:pPr>
            <w:r>
              <w:t xml:space="preserve">1</w:t>
            </w:r>
          </w:p>
        </w:tc>
        <w:tc>
          <w:tcPr/>
          <w:p>
            <w:pPr>
              <w:pStyle w:val="Compact"/>
            </w:pPr>
            <w:r>
              <w:t xml:space="preserve">Ensures digital solutions are secure and scalable.</w:t>
            </w:r>
          </w:p>
        </w:tc>
      </w:tr>
      <w:tr>
        <w:tc>
          <w:tcPr/>
          <w:p>
            <w:pPr>
              <w:pStyle w:val="Compact"/>
            </w:pPr>
            <w:r>
              <w:rPr>
                <w:b/>
                <w:bCs/>
              </w:rPr>
              <w:t xml:space="preserve">Supply‑chain / procurement liaison</w:t>
            </w:r>
          </w:p>
        </w:tc>
        <w:tc>
          <w:tcPr/>
          <w:p>
            <w:pPr>
              <w:pStyle w:val="Compact"/>
            </w:pPr>
            <w:r>
              <w:t xml:space="preserve">Ensures suppliers and materials meet quality criteria, manages vendor relationships and logistic implications</w:t>
            </w:r>
            <w:hyperlink r:id="rId29">
              <w:r>
                <w:rPr>
                  <w:rStyle w:val="Hyperlink"/>
                </w:rPr>
                <w:t xml:space="preserve">[8]</w:t>
              </w:r>
            </w:hyperlink>
            <w:r>
              <w:t xml:space="preserve">.</w:t>
            </w:r>
          </w:p>
        </w:tc>
        <w:tc>
          <w:tcPr/>
          <w:p>
            <w:pPr>
              <w:pStyle w:val="Compact"/>
            </w:pPr>
            <w:r>
              <w:t xml:space="preserve">1 (part‑time)</w:t>
            </w:r>
          </w:p>
        </w:tc>
        <w:tc>
          <w:tcPr/>
          <w:p>
            <w:pPr>
              <w:pStyle w:val="Compact"/>
            </w:pPr>
            <w:r>
              <w:t xml:space="preserve">Aligns supply chain readiness with new processes.</w:t>
            </w:r>
          </w:p>
        </w:tc>
      </w:tr>
      <w:tr>
        <w:tc>
          <w:tcPr/>
          <w:p>
            <w:pPr>
              <w:pStyle w:val="Compact"/>
            </w:pPr>
            <w:r>
              <w:rPr>
                <w:b/>
                <w:bCs/>
              </w:rPr>
              <w:t xml:space="preserve">Finance / marketing representative</w:t>
            </w:r>
          </w:p>
        </w:tc>
        <w:tc>
          <w:tcPr/>
          <w:p>
            <w:pPr>
              <w:pStyle w:val="Compact"/>
            </w:pPr>
            <w:r>
              <w:t xml:space="preserve">Evaluate business case, cost/benefit and market positioning, and support go‑to‑market planning</w:t>
            </w:r>
            <w:hyperlink r:id="rId24">
              <w:r>
                <w:rPr>
                  <w:rStyle w:val="Hyperlink"/>
                </w:rPr>
                <w:t xml:space="preserve">[4]</w:t>
              </w:r>
            </w:hyperlink>
            <w:r>
              <w:t xml:space="preserve">.</w:t>
            </w:r>
          </w:p>
        </w:tc>
        <w:tc>
          <w:tcPr/>
          <w:p>
            <w:pPr>
              <w:pStyle w:val="Compact"/>
            </w:pPr>
            <w:r>
              <w:t xml:space="preserve">1 (part‑time)</w:t>
            </w:r>
          </w:p>
        </w:tc>
        <w:tc>
          <w:tcPr/>
          <w:p>
            <w:pPr>
              <w:pStyle w:val="Compact"/>
            </w:pPr>
            <w:r>
              <w:t xml:space="preserve">Provides commercial perspective and prepares for product launch.</w:t>
            </w:r>
          </w:p>
        </w:tc>
      </w:tr>
    </w:tbl>
    <w:p>
      <w:pPr>
        <w:pStyle w:val="BodyText"/>
      </w:pPr>
      <w:r>
        <w:rPr>
          <w:i/>
          <w:iCs/>
        </w:rPr>
        <w:t xml:space="preserve">Total FTEs</w:t>
      </w:r>
      <w:r>
        <w:t xml:space="preserve">:</w:t>
      </w:r>
      <w:r>
        <w:t xml:space="preserve"> </w:t>
      </w:r>
      <w:r>
        <w:rPr>
          <w:b/>
          <w:bCs/>
        </w:rPr>
        <w:t xml:space="preserve">8–10</w:t>
      </w:r>
      <w:r>
        <w:t xml:space="preserve"> </w:t>
      </w:r>
      <w:r>
        <w:t xml:space="preserve">individuals. This team may expand temporarily when several projects enter the operationalization phase. Many roles can be part‑time or shared across projects. The headcount corresponds to a modest 0.08–0.1 % of total company staff but provides comprehensive coverage across quality, regulatory and operational disciplines</w:t>
      </w:r>
      <w:hyperlink r:id="rId23">
        <w:r>
          <w:rPr>
            <w:rStyle w:val="Hyperlink"/>
          </w:rPr>
          <w:t xml:space="preserve">[3]</w:t>
        </w:r>
      </w:hyperlink>
      <w:r>
        <w:t xml:space="preserve">.</w:t>
      </w:r>
    </w:p>
    <w:bookmarkEnd w:id="30"/>
    <w:bookmarkEnd w:id="31"/>
    <w:bookmarkStart w:id="33" w:name="how-the-two-functions-work-together"/>
    <w:p>
      <w:pPr>
        <w:pStyle w:val="Heading2"/>
      </w:pPr>
      <w:r>
        <w:t xml:space="preserve">How the Two Functions Work Together</w:t>
      </w:r>
    </w:p>
    <w:p>
      <w:pPr>
        <w:numPr>
          <w:ilvl w:val="0"/>
          <w:numId w:val="1002"/>
        </w:numPr>
      </w:pPr>
      <w:r>
        <w:rPr>
          <w:b/>
          <w:bCs/>
        </w:rPr>
        <w:t xml:space="preserve">Discovery and prioritization</w:t>
      </w:r>
      <w:r>
        <w:t xml:space="preserve"> </w:t>
      </w:r>
      <w:r>
        <w:t xml:space="preserve">– The exploratory funnel identifies problems aligned with strategic priorities and scouts emerging technologies. A steering committee of business leaders reviews the pipeline and selects promising ideas to progress</w:t>
      </w:r>
      <w:hyperlink r:id="rId21">
        <w:r>
          <w:rPr>
            <w:rStyle w:val="Hyperlink"/>
          </w:rPr>
          <w:t xml:space="preserve">[1]</w:t>
        </w:r>
      </w:hyperlink>
      <w:r>
        <w:t xml:space="preserve">.</w:t>
      </w:r>
    </w:p>
    <w:p>
      <w:pPr>
        <w:numPr>
          <w:ilvl w:val="0"/>
          <w:numId w:val="1002"/>
        </w:numPr>
      </w:pPr>
      <w:r>
        <w:rPr>
          <w:b/>
          <w:bCs/>
        </w:rPr>
        <w:t xml:space="preserve">MVP development and validation</w:t>
      </w:r>
      <w:r>
        <w:t xml:space="preserve"> </w:t>
      </w:r>
      <w:r>
        <w:t xml:space="preserve">– Cross‑functional squads build MVPs using lean product‑development techniques (small teams with product manager, designer and engineers)</w:t>
      </w:r>
      <w:hyperlink r:id="rId22">
        <w:r>
          <w:rPr>
            <w:rStyle w:val="Hyperlink"/>
          </w:rPr>
          <w:t xml:space="preserve">[2]</w:t>
        </w:r>
      </w:hyperlink>
      <w:r>
        <w:t xml:space="preserve">. Domain experts provide scientific, regulatory and operational input early to ensure feasibility</w:t>
      </w:r>
      <w:hyperlink r:id="rId24">
        <w:r>
          <w:rPr>
            <w:rStyle w:val="Hyperlink"/>
          </w:rPr>
          <w:t xml:space="preserve">[4]</w:t>
        </w:r>
      </w:hyperlink>
      <w:r>
        <w:t xml:space="preserve">.</w:t>
      </w:r>
    </w:p>
    <w:p>
      <w:pPr>
        <w:numPr>
          <w:ilvl w:val="0"/>
          <w:numId w:val="1002"/>
        </w:numPr>
      </w:pPr>
      <w:r>
        <w:rPr>
          <w:b/>
          <w:bCs/>
        </w:rPr>
        <w:t xml:space="preserve">Knowledge capture and artifact creation</w:t>
      </w:r>
      <w:r>
        <w:t xml:space="preserve"> </w:t>
      </w:r>
      <w:r>
        <w:t xml:space="preserve">– Each project generates research reports, technical evaluations, user feedback and simple digital tools. These artifacts are stored in a centralized repository for reuse.</w:t>
      </w:r>
    </w:p>
    <w:p>
      <w:pPr>
        <w:numPr>
          <w:ilvl w:val="0"/>
          <w:numId w:val="1002"/>
        </w:numPr>
      </w:pPr>
      <w:r>
        <w:rPr>
          <w:b/>
          <w:bCs/>
        </w:rPr>
        <w:t xml:space="preserve">Evaluation and hand‑off</w:t>
      </w:r>
      <w:r>
        <w:t xml:space="preserve"> </w:t>
      </w:r>
      <w:r>
        <w:t xml:space="preserve">– The steering committee assesses MVP outcomes against predefined metrics (e.g., user adoption, technical feasibility, regulatory risk). Successful projects are handed to the operationalization team. Clear</w:t>
      </w:r>
      <w:r>
        <w:t xml:space="preserve"> </w:t>
      </w:r>
      <w:r>
        <w:rPr>
          <w:b/>
          <w:bCs/>
        </w:rPr>
        <w:t xml:space="preserve">handoff gates</w:t>
      </w:r>
      <w:r>
        <w:t xml:space="preserve"> </w:t>
      </w:r>
      <w:r>
        <w:t xml:space="preserve">and standardized documentation ensure smooth transition</w:t>
      </w:r>
      <w:hyperlink r:id="rId32">
        <w:r>
          <w:rPr>
            <w:rStyle w:val="Hyperlink"/>
          </w:rPr>
          <w:t xml:space="preserve">[9]</w:t>
        </w:r>
      </w:hyperlink>
      <w:r>
        <w:t xml:space="preserve">.</w:t>
      </w:r>
    </w:p>
    <w:p>
      <w:pPr>
        <w:numPr>
          <w:ilvl w:val="0"/>
          <w:numId w:val="1002"/>
        </w:numPr>
      </w:pPr>
      <w:r>
        <w:rPr>
          <w:b/>
          <w:bCs/>
        </w:rPr>
        <w:t xml:space="preserve">Playbook development</w:t>
      </w:r>
      <w:r>
        <w:t xml:space="preserve"> </w:t>
      </w:r>
      <w:r>
        <w:t xml:space="preserve">– The operationalization team translates exploratory artifacts into</w:t>
      </w:r>
      <w:r>
        <w:t xml:space="preserve"> </w:t>
      </w:r>
      <w:r>
        <w:rPr>
          <w:b/>
          <w:bCs/>
        </w:rPr>
        <w:t xml:space="preserve">tactics and playbooks</w:t>
      </w:r>
      <w:r>
        <w:t xml:space="preserve">. They develop SOPs, define quality metrics, validate software and processes, and prepare regulatory submissions. QA and QC roles ensure that all activities comply with the biotech QMS</w:t>
      </w:r>
      <w:hyperlink r:id="rId23">
        <w:r>
          <w:rPr>
            <w:rStyle w:val="Hyperlink"/>
          </w:rPr>
          <w:t xml:space="preserve">[3]</w:t>
        </w:r>
      </w:hyperlink>
      <w:r>
        <w:t xml:space="preserve">. Training and change‑management specialists prepare the receiving business units.</w:t>
      </w:r>
    </w:p>
    <w:p>
      <w:pPr>
        <w:numPr>
          <w:ilvl w:val="0"/>
          <w:numId w:val="1002"/>
        </w:numPr>
      </w:pPr>
      <w:r>
        <w:rPr>
          <w:b/>
          <w:bCs/>
        </w:rPr>
        <w:t xml:space="preserve">Integration into core operations</w:t>
      </w:r>
      <w:r>
        <w:t xml:space="preserve"> </w:t>
      </w:r>
      <w:r>
        <w:t xml:space="preserve">– IT integration engineers and process analysts integrate the new solution into enterprise systems (ERP, LIMS, eQMS)</w:t>
      </w:r>
      <w:hyperlink r:id="rId28">
        <w:r>
          <w:rPr>
            <w:rStyle w:val="Hyperlink"/>
          </w:rPr>
          <w:t xml:space="preserve">[7]</w:t>
        </w:r>
      </w:hyperlink>
      <w:r>
        <w:t xml:space="preserve"> </w:t>
      </w:r>
      <w:r>
        <w:t xml:space="preserve">and coordinate with supply‑chain and manufacturing. Continuous feedback loops support improvement and ensure that lessons learned are captured for future projects.</w:t>
      </w:r>
    </w:p>
    <w:bookmarkEnd w:id="33"/>
    <w:bookmarkStart w:id="35" w:name="recommendations-and-best-practices"/>
    <w:p>
      <w:pPr>
        <w:pStyle w:val="Heading2"/>
      </w:pPr>
      <w:r>
        <w:t xml:space="preserve">Recommendations and Best Practices</w:t>
      </w:r>
    </w:p>
    <w:p>
      <w:pPr>
        <w:pStyle w:val="Compact"/>
        <w:numPr>
          <w:ilvl w:val="0"/>
          <w:numId w:val="1003"/>
        </w:numPr>
      </w:pPr>
      <w:r>
        <w:rPr>
          <w:b/>
          <w:bCs/>
        </w:rPr>
        <w:t xml:space="preserve">Cross‑functional representation</w:t>
      </w:r>
      <w:r>
        <w:t xml:space="preserve"> </w:t>
      </w:r>
      <w:r>
        <w:t xml:space="preserve">– Include rotating subject‑matter experts from research, manufacturing, regulatory affairs, quality assurance, marketing and finance to ensure holistic solutions</w:t>
      </w:r>
      <w:hyperlink r:id="rId24">
        <w:r>
          <w:rPr>
            <w:rStyle w:val="Hyperlink"/>
          </w:rPr>
          <w:t xml:space="preserve">[4]</w:t>
        </w:r>
      </w:hyperlink>
      <w:r>
        <w:t xml:space="preserve">.</w:t>
      </w:r>
    </w:p>
    <w:p>
      <w:pPr>
        <w:pStyle w:val="Compact"/>
        <w:numPr>
          <w:ilvl w:val="0"/>
          <w:numId w:val="1003"/>
        </w:numPr>
      </w:pPr>
      <w:r>
        <w:rPr>
          <w:b/>
          <w:bCs/>
        </w:rPr>
        <w:t xml:space="preserve">Small, agile squads</w:t>
      </w:r>
      <w:r>
        <w:t xml:space="preserve"> </w:t>
      </w:r>
      <w:r>
        <w:t xml:space="preserve">– Keep exploratory squads small (≤7 people) to maintain agility and speed</w:t>
      </w:r>
      <w:hyperlink r:id="rId22">
        <w:r>
          <w:rPr>
            <w:rStyle w:val="Hyperlink"/>
          </w:rPr>
          <w:t xml:space="preserve">[2]</w:t>
        </w:r>
      </w:hyperlink>
      <w:r>
        <w:t xml:space="preserve">.</w:t>
      </w:r>
    </w:p>
    <w:p>
      <w:pPr>
        <w:pStyle w:val="Compact"/>
        <w:numPr>
          <w:ilvl w:val="0"/>
          <w:numId w:val="1003"/>
        </w:numPr>
      </w:pPr>
      <w:r>
        <w:rPr>
          <w:b/>
          <w:bCs/>
        </w:rPr>
        <w:t xml:space="preserve">Stage‑gate process</w:t>
      </w:r>
      <w:r>
        <w:t xml:space="preserve"> </w:t>
      </w:r>
      <w:r>
        <w:t xml:space="preserve">– Implement clear milestones and hand‑off gates for moving projects from exploration to operationalization</w:t>
      </w:r>
      <w:hyperlink r:id="rId32">
        <w:r>
          <w:rPr>
            <w:rStyle w:val="Hyperlink"/>
          </w:rPr>
          <w:t xml:space="preserve">[9]</w:t>
        </w:r>
      </w:hyperlink>
      <w:r>
        <w:t xml:space="preserve">.</w:t>
      </w:r>
    </w:p>
    <w:p>
      <w:pPr>
        <w:pStyle w:val="Compact"/>
        <w:numPr>
          <w:ilvl w:val="0"/>
          <w:numId w:val="1003"/>
        </w:numPr>
      </w:pPr>
      <w:r>
        <w:rPr>
          <w:b/>
          <w:bCs/>
        </w:rPr>
        <w:t xml:space="preserve">Digital QMS integration</w:t>
      </w:r>
      <w:r>
        <w:t xml:space="preserve"> </w:t>
      </w:r>
      <w:r>
        <w:t xml:space="preserve">– Adopt a modern electronic QMS to manage documentation, training, deviations and CAPA digitally, enabling traceability and compliance</w:t>
      </w:r>
      <w:hyperlink r:id="rId23">
        <w:r>
          <w:rPr>
            <w:rStyle w:val="Hyperlink"/>
          </w:rPr>
          <w:t xml:space="preserve">[3]</w:t>
        </w:r>
      </w:hyperlink>
      <w:r>
        <w:t xml:space="preserve">.</w:t>
      </w:r>
    </w:p>
    <w:p>
      <w:pPr>
        <w:pStyle w:val="Compact"/>
        <w:numPr>
          <w:ilvl w:val="0"/>
          <w:numId w:val="1003"/>
        </w:numPr>
      </w:pPr>
      <w:r>
        <w:rPr>
          <w:b/>
          <w:bCs/>
        </w:rPr>
        <w:t xml:space="preserve">Metrics and feedback</w:t>
      </w:r>
      <w:r>
        <w:t xml:space="preserve"> </w:t>
      </w:r>
      <w:r>
        <w:t xml:space="preserve">– Monitor both innovation metrics (idea velocity, MVP cycle time) and operational metrics (deviation closure, training completion) to measure success and identify improvement areas</w:t>
      </w:r>
      <w:hyperlink r:id="rId34">
        <w:r>
          <w:rPr>
            <w:rStyle w:val="Hyperlink"/>
          </w:rPr>
          <w:t xml:space="preserve">[10]</w:t>
        </w:r>
      </w:hyperlink>
      <w:r>
        <w:t xml:space="preserve">.</w:t>
      </w:r>
    </w:p>
    <w:p>
      <w:pPr>
        <w:pStyle w:val="FirstParagraph"/>
      </w:pPr>
      <w:r>
        <w:t xml:space="preserve">By combining a trend‑watching exploratory funnel with a rigorous operationalization function, a biotech innovation space can continually surface novel solutions while ensuring that only high‑impact, compliant innovations progress to the core business.</w:t>
      </w:r>
    </w:p>
    <w:bookmarkEnd w:id="35"/>
    <w:bookmarkEnd w:id="36"/>
    <w:bookmarkEnd w:id="37"/>
    <w:p>
      <w:r>
        <w:pict>
          <v:rect style="width:0;height:1.5pt" o:hralign="center" o:hrstd="t" o:hr="t"/>
        </w:pict>
      </w:r>
    </w:p>
    <w:bookmarkStart w:id="44"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r>
        <w:t xml:space="preserve">Assembling the Ultimate Innovation Lab Team: Essential Roles and Strategies for Success | Bounteous</w:t>
      </w:r>
    </w:p>
    <w:p>
      <w:pPr>
        <w:pStyle w:val="BodyText"/>
      </w:pPr>
      <w:hyperlink r:id="rId38">
        <w:r>
          <w:rPr>
            <w:rStyle w:val="Hyperlink"/>
          </w:rPr>
          <w:t xml:space="preserve">https://www.bounteous.com/insights/2023/08/03/assembling-ultimate-innovation-lab-team-essential-roles-and-strategies-success/</w:t>
        </w:r>
      </w:hyperlink>
    </w:p>
    <w:p>
      <w:pPr>
        <w:pStyle w:val="BodyText"/>
      </w:pPr>
      <w:hyperlink r:id="rId22">
        <w:r>
          <w:rPr>
            <w:rStyle w:val="Hyperlink"/>
          </w:rPr>
          <w:t xml:space="preserve">[2]</w:t>
        </w:r>
      </w:hyperlink>
      <w:r>
        <w:t xml:space="preserve"> </w:t>
      </w:r>
      <w:r>
        <w:t xml:space="preserve">Structuring effective product development teams | by Joca Torres | Medium</w:t>
      </w:r>
    </w:p>
    <w:p>
      <w:pPr>
        <w:pStyle w:val="BodyText"/>
      </w:pPr>
      <w:hyperlink r:id="rId39">
        <w:r>
          <w:rPr>
            <w:rStyle w:val="Hyperlink"/>
          </w:rPr>
          <w:t xml:space="preserve">https://jocatorres.medium.com/structuring-effective-product-development-teams-40dae9c8550e</w:t>
        </w:r>
      </w:hyperlink>
    </w:p>
    <w:p>
      <w:pPr>
        <w:pStyle w:val="BodyText"/>
      </w:pPr>
      <w:hyperlink r:id="rId23">
        <w:r>
          <w:rPr>
            <w:rStyle w:val="Hyperlink"/>
          </w:rPr>
          <w:t xml:space="preserve">[3]</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4">
        <w:r>
          <w:rPr>
            <w:rStyle w:val="Hyperlink"/>
          </w:rPr>
          <w:t xml:space="preserve">[10]</w:t>
        </w:r>
      </w:hyperlink>
      <w:r>
        <w:t xml:space="preserve"> </w:t>
      </w:r>
      <w:r>
        <w:t xml:space="preserve">Biotechnology QMS [Quality Management System] - Dot Compliance</w:t>
      </w:r>
    </w:p>
    <w:p>
      <w:pPr>
        <w:pStyle w:val="BodyText"/>
      </w:pPr>
      <w:hyperlink r:id="rId40">
        <w:r>
          <w:rPr>
            <w:rStyle w:val="Hyperlink"/>
          </w:rPr>
          <w:t xml:space="preserve">https://www.dotcompliance.com/blog/eqms/biotechnology-qms-quality-management-system/</w:t>
        </w:r>
      </w:hyperlink>
    </w:p>
    <w:p>
      <w:pPr>
        <w:pStyle w:val="BodyText"/>
      </w:pPr>
      <w:hyperlink r:id="rId24">
        <w:r>
          <w:rPr>
            <w:rStyle w:val="Hyperlink"/>
          </w:rPr>
          <w:t xml:space="preserve">[4]</w:t>
        </w:r>
      </w:hyperlink>
      <w:r>
        <w:t xml:space="preserve"> </w:t>
      </w:r>
      <w:r>
        <w:t xml:space="preserve">Biotech Product Core Teams: Driving Innovation And Collaboration - Martin Holguin | Professional Overview</w:t>
      </w:r>
    </w:p>
    <w:p>
      <w:pPr>
        <w:pStyle w:val="BodyText"/>
      </w:pPr>
      <w:hyperlink r:id="rId41">
        <w:r>
          <w:rPr>
            <w:rStyle w:val="Hyperlink"/>
          </w:rPr>
          <w:t xml:space="preserve">https://martinholguin.com/biotech-product-core-teams-driving-innovation-and-collaboration/</w:t>
        </w:r>
      </w:hyperlink>
    </w:p>
    <w:p>
      <w:pPr>
        <w:pStyle w:val="BodyText"/>
      </w:pPr>
      <w:hyperlink r:id="rId26">
        <w:r>
          <w:rPr>
            <w:rStyle w:val="Hyperlink"/>
          </w:rPr>
          <w:t xml:space="preserve">[6]</w:t>
        </w:r>
      </w:hyperlink>
      <w:r>
        <w:t xml:space="preserve"> </w:t>
      </w:r>
      <w:r>
        <w:t xml:space="preserve"> </w:t>
      </w:r>
      <w:r>
        <w:t xml:space="preserve">Driving health transformation: big pharma’s innovation labs revolution - PMC</w:t>
      </w:r>
      <w:r>
        <w:t xml:space="preserve"> </w:t>
      </w:r>
    </w:p>
    <w:p>
      <w:pPr>
        <w:pStyle w:val="BodyText"/>
      </w:pPr>
      <w:hyperlink r:id="rId42">
        <w:r>
          <w:rPr>
            <w:rStyle w:val="Hyperlink"/>
          </w:rPr>
          <w:t xml:space="preserve">https://pmc.ncbi.nlm.nih.gov/articles/PMC12551358/</w:t>
        </w:r>
      </w:hyperlink>
    </w:p>
    <w:p>
      <w:pPr>
        <w:pStyle w:val="BodyText"/>
      </w:pPr>
      <w:hyperlink r:id="rId32">
        <w:r>
          <w:rPr>
            <w:rStyle w:val="Hyperlink"/>
          </w:rPr>
          <w:t xml:space="preserve">[9]</w:t>
        </w:r>
      </w:hyperlink>
      <w:r>
        <w:t xml:space="preserve"> </w:t>
      </w:r>
      <w:r>
        <w:t xml:space="preserve">Innovation Labs: Launching and Scaling Corporate Innovation</w:t>
      </w:r>
    </w:p>
    <w:p>
      <w:pPr>
        <w:pStyle w:val="BodyText"/>
      </w:pPr>
      <w:hyperlink r:id="rId43">
        <w:r>
          <w:rPr>
            <w:rStyle w:val="Hyperlink"/>
          </w:rPr>
          <w:t xml:space="preserve">https://www.qmarkets.net/resources/article/innovation-labs/</w:t>
        </w:r>
      </w:hyperlink>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jocatorres.medium.com/structuring-effective-product-development-teams-40dae9c8550e" TargetMode="External" /><Relationship Type="http://schemas.openxmlformats.org/officeDocument/2006/relationships/hyperlink" Id="rId22" Target="https://jocatorres.medium.com/structuring-effective-product-development-teams-40dae9c8550e#:~:text=The%20minimum%20product%20development%20team,fed%20by%20two%20large%20pizzas" TargetMode="External" /><Relationship Type="http://schemas.openxmlformats.org/officeDocument/2006/relationships/hyperlink" Id="rId41" Target="https://martinholguin.com/biotech-product-core-teams-driving-innovation-and-collaboration/" TargetMode="External" /><Relationship Type="http://schemas.openxmlformats.org/officeDocument/2006/relationships/hyperlink" Id="rId24" Target="https://martinholguin.com/biotech-product-core-teams-driving-innovation-and-collaboration/#:~:text=Biotech%20product%20core%20teams%20are,market%20support" TargetMode="External" /><Relationship Type="http://schemas.openxmlformats.org/officeDocument/2006/relationships/hyperlink" Id="rId42" Target="https://pmc.ncbi.nlm.nih.gov/articles/PMC12551358/" TargetMode="External" /><Relationship Type="http://schemas.openxmlformats.org/officeDocument/2006/relationships/hyperlink" Id="rId26" Target="https://pmc.ncbi.nlm.nih.gov/articles/PMC12551358/#:~:text=The%20primary%20innovation%20domain%20is,and%20immunology%20%2834" TargetMode="External" /><Relationship Type="http://schemas.openxmlformats.org/officeDocument/2006/relationships/hyperlink" Id="rId38" Target="https://www.bounteous.com/insights/2023/08/03/assembling-ultimate-innovation-lab-team-essential-roles-and-strategies-success/" TargetMode="External" /><Relationship Type="http://schemas.openxmlformats.org/officeDocument/2006/relationships/hyperlink" Id="rId21" Target="https://www.bounteous.com/insights/2023/08/03/assembling-ultimate-innovation-lab-team-essential-roles-and-strategies-success/#:~:text=be%20strategic%20on%20how%20to,Innovators%2C%20and%20a%20Steering%20Committee" TargetMode="External" /><Relationship Type="http://schemas.openxmlformats.org/officeDocument/2006/relationships/hyperlink" Id="rId40" Target="https://www.dotcompliance.com/blog/eqms/biotechnology-qms-quality-management-system/" TargetMode="External" /><Relationship Type="http://schemas.openxmlformats.org/officeDocument/2006/relationships/hyperlink" Id="rId34" Target="https://www.dotcompliance.com/blog/eqms/biotechnology-qms-quality-management-system/#:~:text=A%20functioning%20QMS%20must%20generate,intended%20and%20guide%20management%20review" TargetMode="External" /><Relationship Type="http://schemas.openxmlformats.org/officeDocument/2006/relationships/hyperlink" Id="rId28" Target="https://www.dotcompliance.com/blog/eqms/biotechnology-qms-quality-management-system/#:~:text=IT%20and%20Systems%20Owners%20maintain,11%20and%20EU%20Annex%2011" TargetMode="External" /><Relationship Type="http://schemas.openxmlformats.org/officeDocument/2006/relationships/hyperlink" Id="rId23" Target="https://www.dotcompliance.com/blog/eqms/biotechnology-qms-quality-management-system/#:~:text=Roles%20and%20Responsibilities%20in%20the,Biotech%20QMS" TargetMode="External" /><Relationship Type="http://schemas.openxmlformats.org/officeDocument/2006/relationships/hyperlink" Id="rId29" Target="https://www.dotcompliance.com/blog/eqms/biotechnology-qms-quality-management-system/#:~:text=Supply%20Chain%20and%20Procurement%20qualify,materials%20meet%20defined%20acceptance%20criteria" TargetMode="External" /><Relationship Type="http://schemas.openxmlformats.org/officeDocument/2006/relationships/hyperlink" Id="rId43" Target="https://www.qmarkets.net/resources/article/innovation-labs/" TargetMode="External" /><Relationship Type="http://schemas.openxmlformats.org/officeDocument/2006/relationships/hyperlink" Id="rId32" Target="https://www.qmarkets.net/resources/article/innovation-labs/#:~:text=structured%2C%20repeatable%20processes,include" TargetMode="External" /></Relationships>
</file>

<file path=word/_rels/footnotes.xml.rels><?xml version="1.0" encoding="UTF-8"?><Relationships xmlns="http://schemas.openxmlformats.org/package/2006/relationships"><Relationship Type="http://schemas.openxmlformats.org/officeDocument/2006/relationships/hyperlink" Id="rId39" Target="https://jocatorres.medium.com/structuring-effective-product-development-teams-40dae9c8550e" TargetMode="External" /><Relationship Type="http://schemas.openxmlformats.org/officeDocument/2006/relationships/hyperlink" Id="rId22" Target="https://jocatorres.medium.com/structuring-effective-product-development-teams-40dae9c8550e#:~:text=The%20minimum%20product%20development%20team,fed%20by%20two%20large%20pizzas" TargetMode="External" /><Relationship Type="http://schemas.openxmlformats.org/officeDocument/2006/relationships/hyperlink" Id="rId41" Target="https://martinholguin.com/biotech-product-core-teams-driving-innovation-and-collaboration/" TargetMode="External" /><Relationship Type="http://schemas.openxmlformats.org/officeDocument/2006/relationships/hyperlink" Id="rId24" Target="https://martinholguin.com/biotech-product-core-teams-driving-innovation-and-collaboration/#:~:text=Biotech%20product%20core%20teams%20are,market%20support" TargetMode="External" /><Relationship Type="http://schemas.openxmlformats.org/officeDocument/2006/relationships/hyperlink" Id="rId42" Target="https://pmc.ncbi.nlm.nih.gov/articles/PMC12551358/" TargetMode="External" /><Relationship Type="http://schemas.openxmlformats.org/officeDocument/2006/relationships/hyperlink" Id="rId26" Target="https://pmc.ncbi.nlm.nih.gov/articles/PMC12551358/#:~:text=The%20primary%20innovation%20domain%20is,and%20immunology%20%2834" TargetMode="External" /><Relationship Type="http://schemas.openxmlformats.org/officeDocument/2006/relationships/hyperlink" Id="rId38" Target="https://www.bounteous.com/insights/2023/08/03/assembling-ultimate-innovation-lab-team-essential-roles-and-strategies-success/" TargetMode="External" /><Relationship Type="http://schemas.openxmlformats.org/officeDocument/2006/relationships/hyperlink" Id="rId21" Target="https://www.bounteous.com/insights/2023/08/03/assembling-ultimate-innovation-lab-team-essential-roles-and-strategies-success/#:~:text=be%20strategic%20on%20how%20to,Innovators%2C%20and%20a%20Steering%20Committee" TargetMode="External" /><Relationship Type="http://schemas.openxmlformats.org/officeDocument/2006/relationships/hyperlink" Id="rId40" Target="https://www.dotcompliance.com/blog/eqms/biotechnology-qms-quality-management-system/" TargetMode="External" /><Relationship Type="http://schemas.openxmlformats.org/officeDocument/2006/relationships/hyperlink" Id="rId34" Target="https://www.dotcompliance.com/blog/eqms/biotechnology-qms-quality-management-system/#:~:text=A%20functioning%20QMS%20must%20generate,intended%20and%20guide%20management%20review" TargetMode="External" /><Relationship Type="http://schemas.openxmlformats.org/officeDocument/2006/relationships/hyperlink" Id="rId28" Target="https://www.dotcompliance.com/blog/eqms/biotechnology-qms-quality-management-system/#:~:text=IT%20and%20Systems%20Owners%20maintain,11%20and%20EU%20Annex%2011" TargetMode="External" /><Relationship Type="http://schemas.openxmlformats.org/officeDocument/2006/relationships/hyperlink" Id="rId23" Target="https://www.dotcompliance.com/blog/eqms/biotechnology-qms-quality-management-system/#:~:text=Roles%20and%20Responsibilities%20in%20the,Biotech%20QMS" TargetMode="External" /><Relationship Type="http://schemas.openxmlformats.org/officeDocument/2006/relationships/hyperlink" Id="rId29" Target="https://www.dotcompliance.com/blog/eqms/biotechnology-qms-quality-management-system/#:~:text=Supply%20Chain%20and%20Procurement%20qualify,materials%20meet%20defined%20acceptance%20criteria" TargetMode="External" /><Relationship Type="http://schemas.openxmlformats.org/officeDocument/2006/relationships/hyperlink" Id="rId43" Target="https://www.qmarkets.net/resources/article/innovation-labs/" TargetMode="External" /><Relationship Type="http://schemas.openxmlformats.org/officeDocument/2006/relationships/hyperlink" Id="rId32" Target="https://www.qmarkets.net/resources/article/innovation-labs/#:~:text=structured%2C%20repeatable%20processes,inclu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2026-01-29T17:28:43Z</dcterms:created>
  <dcterms:modified xsi:type="dcterms:W3CDTF">2026-01-29T17:28:43Z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