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4" w:name="content"/>
    <w:bookmarkStart w:id="63" w:name="Xff0de60d722a9691304ad7ed03f3c889af958d4"/>
    <w:p>
      <w:pPr>
        <w:pStyle w:val="Heading1"/>
      </w:pPr>
      <w:r>
        <w:t xml:space="preserve">Biopharma Plant Bus Risk Mitigation Research for OT–Enterprise Data Dissemination Using Ignition, HighByte, and HiveMQ</w:t>
      </w:r>
    </w:p>
    <w:bookmarkStart w:id="24" w:name="executive-summary"/>
    <w:p>
      <w:pPr>
        <w:pStyle w:val="Heading2"/>
      </w:pPr>
      <w:r>
        <w:t xml:space="preserve">Executive summary</w:t>
      </w:r>
    </w:p>
    <w:p>
      <w:pPr>
        <w:pStyle w:val="FirstParagraph"/>
      </w:pPr>
      <w:r>
        <w:t xml:space="preserve">Even with best-practice Purdue/ISA-62443 zoning, a two-firewall industrial DMZ, strict allow-listing, IDS/IPS, segmented management planes, and mature IAM (enterprise IdP, certificate-based auth, RBAC, MFA, automated certificate lifecycle), the risks in your register remain legitimate because a plant bus introduces a</w:t>
      </w:r>
      <w:r>
        <w:t xml:space="preserve"> </w:t>
      </w:r>
      <w:r>
        <w:rPr>
          <w:b/>
          <w:bCs/>
        </w:rPr>
        <w:t xml:space="preserve">shared, high-dependency integration layer</w:t>
      </w:r>
      <w:r>
        <w:t xml:space="preserve"> </w:t>
      </w:r>
      <w:r>
        <w:t xml:space="preserve">in (or adjacent to) GxP-relevant data paths. In regulated environments, “secure networking” does not by itself satisfy expectations around</w:t>
      </w:r>
      <w:r>
        <w:t xml:space="preserve"> </w:t>
      </w:r>
      <w:r>
        <w:rPr>
          <w:b/>
          <w:bCs/>
        </w:rPr>
        <w:t xml:space="preserve">validation, data integrity, auditability, controlled change, supplier oversight, and ongoing state-of-control</w:t>
      </w:r>
      <w:r>
        <w:t xml:space="preserve">.</w:t>
      </w:r>
      <w:r>
        <w:t xml:space="preserve"> </w:t>
      </w:r>
      <w:hyperlink r:id="rId21">
        <w:r>
          <w:rPr>
            <w:rStyle w:val="Hyperlink"/>
          </w:rPr>
          <w:t xml:space="preserve">[1]</w:t>
        </w:r>
      </w:hyperlink>
    </w:p>
    <w:p>
      <w:pPr>
        <w:pStyle w:val="BodyText"/>
      </w:pPr>
      <w:r>
        <w:t xml:space="preserve">The highest-leverage way to reduce overall risk is to treat the plant bus as a</w:t>
      </w:r>
      <w:r>
        <w:t xml:space="preserve"> </w:t>
      </w:r>
      <w:r>
        <w:rPr>
          <w:b/>
          <w:bCs/>
        </w:rPr>
        <w:t xml:space="preserve">validated, monitored, recoverable integration system</w:t>
      </w:r>
      <w:r>
        <w:t xml:space="preserve"> </w:t>
      </w:r>
      <w:r>
        <w:t xml:space="preserve">with explicit GxP boundary controls: (1) data integrity controls (ALCOA/metadata preservation, audit trails, completeness checks), (2) availability engineering (HA, buffering, backup/restore validation), (3) supplier + lifecycle governance (URS/traceability/change control/periodic review), and (4) application-layer security posture (TLS-only endpoints, topic-level authorization, minimal exposed admin surfaces).</w:t>
      </w:r>
      <w:r>
        <w:t xml:space="preserve"> </w:t>
      </w:r>
      <w:hyperlink r:id="rId22">
        <w:r>
          <w:rPr>
            <w:rStyle w:val="Hyperlink"/>
          </w:rPr>
          <w:t xml:space="preserve">[2]</w:t>
        </w:r>
      </w:hyperlink>
    </w:p>
    <w:p>
      <w:pPr>
        <w:pStyle w:val="BodyText"/>
      </w:pPr>
      <w:r>
        <w:t xml:space="preserve">The report below responds to</w:t>
      </w:r>
      <w:r>
        <w:t xml:space="preserve"> </w:t>
      </w:r>
      <w:r>
        <w:rPr>
          <w:b/>
          <w:bCs/>
        </w:rPr>
        <w:t xml:space="preserve">each risk in the attached document</w:t>
      </w:r>
      <w:r>
        <w:t xml:space="preserve"> </w:t>
      </w:r>
      <w:r>
        <w:t xml:space="preserve">(18 total) with: (1) a concise validation paragraph (why it remains legitimate under best-practice topology/IAM), (2) tailored mitigations with priority and effort, (3) verification steps and measurable metrics, and (4) residual risk and trade-offs. Regulatory grounding is anchored in 21 CFR Part 11, 21 CFR 211.68/211.188, FDA data integrity guidance, EU Annex 11, and NIST SP 800-82r3.</w:t>
      </w:r>
      <w:r>
        <w:t xml:space="preserve"> </w:t>
      </w:r>
      <w:hyperlink r:id="rId23">
        <w:r>
          <w:rPr>
            <w:rStyle w:val="Hyperlink"/>
          </w:rPr>
          <w:t xml:space="preserve">[3]</w:t>
        </w:r>
      </w:hyperlink>
    </w:p>
    <w:bookmarkEnd w:id="24"/>
    <w:bookmarkStart w:id="25" w:name="assumptions-and-unknowns"/>
    <w:p>
      <w:pPr>
        <w:pStyle w:val="Heading2"/>
      </w:pPr>
      <w:r>
        <w:t xml:space="preserve">Assumptions and unknowns</w:t>
      </w:r>
    </w:p>
    <w:p>
      <w:pPr>
        <w:pStyle w:val="FirstParagraph"/>
      </w:pPr>
      <w:r>
        <w:t xml:space="preserve">Assumed (per your instruction):</w:t>
      </w:r>
      <w:r>
        <w:t xml:space="preserve"> </w:t>
      </w:r>
      <w:r>
        <w:t xml:space="preserve">- Purdue/ISA-62443 zones, industrial DMZ (two-firewall pattern), strict allow-listing, IDS/IPS, segmented management plane.</w:t>
      </w:r>
      <w:r>
        <w:t xml:space="preserve"> </w:t>
      </w:r>
      <w:r>
        <w:t xml:space="preserve">- Enterprise IdP, certificate-based device auth, RBAC, MFA for admins, automated certificate lifecycle.</w:t>
      </w:r>
      <w:r>
        <w:t xml:space="preserve"> </w:t>
      </w:r>
      <w:r>
        <w:t xml:space="preserve">- HIPAA / PHI is out of scope.</w:t>
      </w:r>
    </w:p>
    <w:p>
      <w:pPr>
        <w:pStyle w:val="BodyText"/>
      </w:pPr>
      <w:r>
        <w:t xml:space="preserve">Unknowns that materially affect design, validation scope, and sizing:</w:t>
      </w:r>
      <w:r>
        <w:t xml:space="preserve"> </w:t>
      </w:r>
      <w:r>
        <w:t xml:space="preserve">- DCS/PLC vendors and protocols (OPC UA vs vendor drivers vs historians).</w:t>
      </w:r>
      <w:r>
        <w:t xml:space="preserve"> </w:t>
      </w:r>
      <w:r>
        <w:t xml:space="preserve">- Cloud vs on-prem enterprise consumers (and whether any traffic hairpins through cloud security services).</w:t>
      </w:r>
      <w:r>
        <w:t xml:space="preserve"> </w:t>
      </w:r>
      <w:r>
        <w:t xml:space="preserve">- Message volumes (topic count, publish rates, payload sizes), retention requirements, and required data latency bounds.</w:t>
      </w:r>
      <w:r>
        <w:t xml:space="preserve"> </w:t>
      </w:r>
      <w:r>
        <w:t xml:space="preserve">- Whether the plant bus is</w:t>
      </w:r>
      <w:r>
        <w:t xml:space="preserve"> </w:t>
      </w:r>
      <w:r>
        <w:rPr>
          <w:b/>
          <w:bCs/>
        </w:rPr>
        <w:t xml:space="preserve">GMP-decision-supporting</w:t>
      </w:r>
      <w:r>
        <w:t xml:space="preserve"> </w:t>
      </w:r>
      <w:r>
        <w:t xml:space="preserve">(batch release, deviations, investigations) vs “analytics-only.”</w:t>
      </w:r>
      <w:r>
        <w:t xml:space="preserve"> </w:t>
      </w:r>
      <w:r>
        <w:t xml:space="preserve">- RTO/RPO requirements and whether business continuity requirements apply during manufacturing steps.</w:t>
      </w:r>
      <w:r>
        <w:t xml:space="preserve"> </w:t>
      </w:r>
      <w:r>
        <w:t xml:space="preserve">- Whether any</w:t>
      </w:r>
      <w:r>
        <w:t xml:space="preserve"> </w:t>
      </w:r>
      <w:r>
        <w:rPr>
          <w:b/>
          <w:bCs/>
        </w:rPr>
        <w:t xml:space="preserve">bidirectional</w:t>
      </w:r>
      <w:r>
        <w:t xml:space="preserve"> </w:t>
      </w:r>
      <w:r>
        <w:t xml:space="preserve">use cases exist (enterprise-to-OT commands) versus OT-to-enterprise telemetry only.</w:t>
      </w:r>
    </w:p>
    <w:p>
      <w:pPr>
        <w:pStyle w:val="BodyText"/>
      </w:pPr>
      <w:r>
        <w:t xml:space="preserve">These unknowns should be captured in a risk-based URS and system description because Annex 11 expects an up-to-date description of critical systems including data flows/interfaces and security measures.</w:t>
      </w:r>
      <w:r>
        <w:t xml:space="preserve"> </w:t>
      </w:r>
      <w:hyperlink r:id="rId21">
        <w:r>
          <w:rPr>
            <w:rStyle w:val="Hyperlink"/>
          </w:rPr>
          <w:t xml:space="preserve">[4]</w:t>
        </w:r>
      </w:hyperlink>
    </w:p>
    <w:bookmarkEnd w:id="25"/>
    <w:bookmarkStart w:id="28" w:name="Xc3f79450c4eac85eee81ec949eef2e7df2726cc"/>
    <w:p>
      <w:pPr>
        <w:pStyle w:val="Heading2"/>
      </w:pPr>
      <w:r>
        <w:t xml:space="preserve">Reference architecture and data flow under best-practice topology and IAM</w:t>
      </w:r>
    </w:p>
    <w:p>
      <w:pPr>
        <w:pStyle w:val="FirstParagraph"/>
      </w:pPr>
      <w:r>
        <w:t xml:space="preserve">Below is a reference layout consistent with best-practice segmentation (your assumption) while explicitly showing where the plant bus components sit and how identity/cert trust is applied.</w:t>
      </w:r>
    </w:p>
    <w:p>
      <w:pPr>
        <w:pStyle w:val="SourceCode"/>
      </w:pPr>
      <w:r>
        <w:rPr>
          <w:rStyle w:val="VerbatimChar"/>
        </w:rPr>
        <w:t xml:space="preserve">flowchart LR</w:t>
      </w:r>
      <w:r>
        <w:br/>
      </w:r>
      <w:r>
        <w:rPr>
          <w:rStyle w:val="VerbatimChar"/>
        </w:rPr>
        <w:t xml:space="preserve">  subgraph OT[OT Zone (Levels 0–3)]</w:t>
      </w:r>
      <w:r>
        <w:br/>
      </w:r>
      <w:r>
        <w:rPr>
          <w:rStyle w:val="VerbatimChar"/>
        </w:rPr>
        <w:t xml:space="preserve">    DCS[DCS/PLCs/Skids]</w:t>
      </w:r>
      <w:r>
        <w:br/>
      </w:r>
      <w:r>
        <w:rPr>
          <w:rStyle w:val="VerbatimChar"/>
        </w:rPr>
        <w:t xml:space="preserve">    IGN[Ignition Gateways]</w:t>
      </w:r>
      <w:r>
        <w:br/>
      </w:r>
      <w:r>
        <w:rPr>
          <w:rStyle w:val="VerbatimChar"/>
        </w:rPr>
        <w:t xml:space="preserve">    HB[HighByte Hub (site)]</w:t>
      </w:r>
      <w:r>
        <w:br/>
      </w:r>
      <w:r>
        <w:rPr>
          <w:rStyle w:val="VerbatimChar"/>
        </w:rPr>
        <w:t xml:space="preserve">  end</w:t>
      </w:r>
      <w:r>
        <w:br/>
      </w:r>
      <w:r>
        <w:br/>
      </w:r>
      <w:r>
        <w:rPr>
          <w:rStyle w:val="VerbatimChar"/>
        </w:rPr>
        <w:t xml:space="preserve">  subgraph IDMZ[Industrial DMZ (Level 3.5)]</w:t>
      </w:r>
      <w:r>
        <w:br/>
      </w:r>
      <w:r>
        <w:rPr>
          <w:rStyle w:val="VerbatimChar"/>
        </w:rPr>
        <w:t xml:space="preserve">    MQTT[HiveMQ Broker / Cluster]</w:t>
      </w:r>
      <w:r>
        <w:br/>
      </w:r>
      <w:r>
        <w:rPr>
          <w:rStyle w:val="VerbatimChar"/>
        </w:rPr>
        <w:t xml:space="preserve">    OBS[Central Logging + Metrics Forwarders]</w:t>
      </w:r>
      <w:r>
        <w:br/>
      </w:r>
      <w:r>
        <w:rPr>
          <w:rStyle w:val="VerbatimChar"/>
        </w:rPr>
        <w:t xml:space="preserve">  end</w:t>
      </w:r>
      <w:r>
        <w:br/>
      </w:r>
      <w:r>
        <w:br/>
      </w:r>
      <w:r>
        <w:rPr>
          <w:rStyle w:val="VerbatimChar"/>
        </w:rPr>
        <w:t xml:space="preserve">  subgraph IT[Enterprise Zone (Levels 4–5)]</w:t>
      </w:r>
      <w:r>
        <w:br/>
      </w:r>
      <w:r>
        <w:rPr>
          <w:rStyle w:val="VerbatimChar"/>
        </w:rPr>
        <w:t xml:space="preserve">    MES[MES/EBR]</w:t>
      </w:r>
      <w:r>
        <w:br/>
      </w:r>
      <w:r>
        <w:rPr>
          <w:rStyle w:val="VerbatimChar"/>
        </w:rPr>
        <w:t xml:space="preserve">    QMS[QMS/LIMS/ERP/Historians]</w:t>
      </w:r>
      <w:r>
        <w:br/>
      </w:r>
      <w:r>
        <w:rPr>
          <w:rStyle w:val="VerbatimChar"/>
        </w:rPr>
        <w:t xml:space="preserve">    LAKE[Analytics/Data Lake]</w:t>
      </w:r>
      <w:r>
        <w:br/>
      </w:r>
      <w:r>
        <w:rPr>
          <w:rStyle w:val="VerbatimChar"/>
        </w:rPr>
        <w:t xml:space="preserve">  end</w:t>
      </w:r>
      <w:r>
        <w:br/>
      </w:r>
      <w:r>
        <w:br/>
      </w:r>
      <w:r>
        <w:rPr>
          <w:rStyle w:val="VerbatimChar"/>
        </w:rPr>
        <w:t xml:space="preserve">  subgraph IAM[IAM + PKI]</w:t>
      </w:r>
      <w:r>
        <w:br/>
      </w:r>
      <w:r>
        <w:rPr>
          <w:rStyle w:val="VerbatimChar"/>
        </w:rPr>
        <w:t xml:space="preserve">    IDP[Enterprise IdP]</w:t>
      </w:r>
      <w:r>
        <w:br/>
      </w:r>
      <w:r>
        <w:rPr>
          <w:rStyle w:val="VerbatimChar"/>
        </w:rPr>
        <w:t xml:space="preserve">    CA[Enterprise CA / Cert Automation]</w:t>
      </w:r>
      <w:r>
        <w:br/>
      </w:r>
      <w:r>
        <w:rPr>
          <w:rStyle w:val="VerbatimChar"/>
        </w:rPr>
        <w:t xml:space="preserve">  end</w:t>
      </w:r>
      <w:r>
        <w:br/>
      </w:r>
      <w:r>
        <w:br/>
      </w:r>
      <w:r>
        <w:rPr>
          <w:rStyle w:val="VerbatimChar"/>
        </w:rPr>
        <w:t xml:space="preserve">  DCS --&gt;|OT protocols / OPC UA| IGN</w:t>
      </w:r>
      <w:r>
        <w:br/>
      </w:r>
      <w:r>
        <w:rPr>
          <w:rStyle w:val="VerbatimChar"/>
        </w:rPr>
        <w:t xml:space="preserve">  IGN --&gt;|modeled/tag data| HB</w:t>
      </w:r>
      <w:r>
        <w:br/>
      </w:r>
      <w:r>
        <w:rPr>
          <w:rStyle w:val="VerbatimChar"/>
        </w:rPr>
        <w:t xml:space="preserve">  HB --&gt;|MQTT publish TLS+mTLS| MQTT</w:t>
      </w:r>
      <w:r>
        <w:br/>
      </w:r>
      <w:r>
        <w:rPr>
          <w:rStyle w:val="VerbatimChar"/>
        </w:rPr>
        <w:t xml:space="preserve">  MQTT --&gt;|MQTT subscribe TLS+mTLS| MES</w:t>
      </w:r>
      <w:r>
        <w:br/>
      </w:r>
      <w:r>
        <w:rPr>
          <w:rStyle w:val="VerbatimChar"/>
        </w:rPr>
        <w:t xml:space="preserve">  MQTT --&gt;|MQTT subscribe TLS+mTLS| QMS</w:t>
      </w:r>
      <w:r>
        <w:br/>
      </w:r>
      <w:r>
        <w:rPr>
          <w:rStyle w:val="VerbatimChar"/>
        </w:rPr>
        <w:t xml:space="preserve">  MQTT --&gt;|MQTT subscribe TLS+mTLS| LAKE</w:t>
      </w:r>
      <w:r>
        <w:br/>
      </w:r>
      <w:r>
        <w:br/>
      </w:r>
      <w:r>
        <w:rPr>
          <w:rStyle w:val="VerbatimChar"/>
        </w:rPr>
        <w:t xml:space="preserve">  IDP --&gt; IGN</w:t>
      </w:r>
      <w:r>
        <w:br/>
      </w:r>
      <w:r>
        <w:rPr>
          <w:rStyle w:val="VerbatimChar"/>
        </w:rPr>
        <w:t xml:space="preserve">  IDP --&gt; HB</w:t>
      </w:r>
      <w:r>
        <w:br/>
      </w:r>
      <w:r>
        <w:rPr>
          <w:rStyle w:val="VerbatimChar"/>
        </w:rPr>
        <w:t xml:space="preserve">  CA --&gt; IGN</w:t>
      </w:r>
      <w:r>
        <w:br/>
      </w:r>
      <w:r>
        <w:rPr>
          <w:rStyle w:val="VerbatimChar"/>
        </w:rPr>
        <w:t xml:space="preserve">  CA --&gt; HB</w:t>
      </w:r>
      <w:r>
        <w:br/>
      </w:r>
      <w:r>
        <w:rPr>
          <w:rStyle w:val="VerbatimChar"/>
        </w:rPr>
        <w:t xml:space="preserve">  CA --&gt; MQTT</w:t>
      </w:r>
      <w:r>
        <w:br/>
      </w:r>
      <w:r>
        <w:br/>
      </w:r>
      <w:r>
        <w:rPr>
          <w:rStyle w:val="VerbatimChar"/>
        </w:rPr>
        <w:t xml:space="preserve">  OBS --- IGN</w:t>
      </w:r>
      <w:r>
        <w:br/>
      </w:r>
      <w:r>
        <w:rPr>
          <w:rStyle w:val="VerbatimChar"/>
        </w:rPr>
        <w:t xml:space="preserve">  OBS --- HB</w:t>
      </w:r>
      <w:r>
        <w:br/>
      </w:r>
      <w:r>
        <w:rPr>
          <w:rStyle w:val="VerbatimChar"/>
        </w:rPr>
        <w:t xml:space="preserve">  OBS --- MQTT</w:t>
      </w:r>
    </w:p>
    <w:p>
      <w:pPr>
        <w:pStyle w:val="FirstParagraph"/>
      </w:pPr>
      <w:r>
        <w:t xml:space="preserve">Key security posture (why it still matters even with “best practice”):</w:t>
      </w:r>
      <w:r>
        <w:t xml:space="preserve"> </w:t>
      </w:r>
      <w:r>
        <w:t xml:space="preserve">- NIST SP 800-82r3 explicitly recommends a DMZ between enterprise and OT, requires only authorized communication between adjacent levels, and warns DMZ services must be monitored/protected to prevent pivoting into OT.</w:t>
      </w:r>
      <w:r>
        <w:t xml:space="preserve"> </w:t>
      </w:r>
      <w:hyperlink r:id="rId26">
        <w:r>
          <w:rPr>
            <w:rStyle w:val="Hyperlink"/>
          </w:rPr>
          <w:t xml:space="preserve">[5]</w:t>
        </w:r>
      </w:hyperlink>
      <w:r>
        <w:t xml:space="preserve"> </w:t>
      </w:r>
      <w:r>
        <w:t xml:space="preserve">- TLS and authentication/authorization are still required at the application layer: HiveMQ emphasizes TLS for secure transport and notes that payload-only encryption does</w:t>
      </w:r>
      <w:r>
        <w:t xml:space="preserve"> </w:t>
      </w:r>
      <w:r>
        <w:rPr>
          <w:b/>
          <w:bCs/>
        </w:rPr>
        <w:t xml:space="preserve">not</w:t>
      </w:r>
      <w:r>
        <w:t xml:space="preserve"> </w:t>
      </w:r>
      <w:r>
        <w:t xml:space="preserve">protect topic names or non-PUBLISH messages (e.g., CONNECT), which matters for confidentiality and integrity.</w:t>
      </w:r>
      <w:r>
        <w:t xml:space="preserve"> </w:t>
      </w:r>
      <w:hyperlink r:id="rId27">
        <w:r>
          <w:rPr>
            <w:rStyle w:val="Hyperlink"/>
          </w:rPr>
          <w:t xml:space="preserve">[6]</w:t>
        </w:r>
      </w:hyperlink>
    </w:p>
    <w:p>
      <w:pPr>
        <w:pStyle w:val="SourceCode"/>
      </w:pPr>
      <w:r>
        <w:rPr>
          <w:rStyle w:val="VerbatimChar"/>
        </w:rPr>
        <w:t xml:space="preserve">sequenceDiagram</w:t>
      </w:r>
      <w:r>
        <w:br/>
      </w:r>
      <w:r>
        <w:rPr>
          <w:rStyle w:val="VerbatimChar"/>
        </w:rPr>
        <w:t xml:space="preserve">  participant Sensor as OT Source (DCS/PLC)</w:t>
      </w:r>
      <w:r>
        <w:br/>
      </w:r>
      <w:r>
        <w:rPr>
          <w:rStyle w:val="VerbatimChar"/>
        </w:rPr>
        <w:t xml:space="preserve">  participant Ign as Ignition</w:t>
      </w:r>
      <w:r>
        <w:br/>
      </w:r>
      <w:r>
        <w:rPr>
          <w:rStyle w:val="VerbatimChar"/>
        </w:rPr>
        <w:t xml:space="preserve">  participant Hb as HighByte</w:t>
      </w:r>
      <w:r>
        <w:br/>
      </w:r>
      <w:r>
        <w:rPr>
          <w:rStyle w:val="VerbatimChar"/>
        </w:rPr>
        <w:t xml:space="preserve">  participant Bkr as HiveMQ</w:t>
      </w:r>
      <w:r>
        <w:br/>
      </w:r>
      <w:r>
        <w:rPr>
          <w:rStyle w:val="VerbatimChar"/>
        </w:rPr>
        <w:t xml:space="preserve">  participant Mes as MES/EBR</w:t>
      </w:r>
      <w:r>
        <w:br/>
      </w:r>
      <w:r>
        <w:rPr>
          <w:rStyle w:val="VerbatimChar"/>
        </w:rPr>
        <w:t xml:space="preserve">  participant Siem as SIEM/Monitoring</w:t>
      </w:r>
      <w:r>
        <w:br/>
      </w:r>
      <w:r>
        <w:br/>
      </w:r>
      <w:r>
        <w:rPr>
          <w:rStyle w:val="VerbatimChar"/>
        </w:rPr>
        <w:t xml:space="preserve">  Sensor-&gt;&gt;Ign: Process signals/events</w:t>
      </w:r>
      <w:r>
        <w:br/>
      </w:r>
      <w:r>
        <w:rPr>
          <w:rStyle w:val="VerbatimChar"/>
        </w:rPr>
        <w:t xml:space="preserve">  Ign-&gt;&gt;Hb: Normalize/context inputs (as configured)</w:t>
      </w:r>
      <w:r>
        <w:br/>
      </w:r>
      <w:r>
        <w:rPr>
          <w:rStyle w:val="VerbatimChar"/>
        </w:rPr>
        <w:t xml:space="preserve">  Hb-&gt;&gt;Bkr: Publish MQTT (TLS/mTLS, authorized topics)</w:t>
      </w:r>
      <w:r>
        <w:br/>
      </w:r>
      <w:r>
        <w:rPr>
          <w:rStyle w:val="VerbatimChar"/>
        </w:rPr>
        <w:t xml:space="preserve">  Bkr-&gt;&gt;Mes: Deliver to subscribers (authorized topics)</w:t>
      </w:r>
      <w:r>
        <w:br/>
      </w:r>
      <w:r>
        <w:rPr>
          <w:rStyle w:val="VerbatimChar"/>
        </w:rPr>
        <w:t xml:space="preserve">  Hb--&gt;&gt;Siem: Config/audit/metrics logs</w:t>
      </w:r>
      <w:r>
        <w:br/>
      </w:r>
      <w:r>
        <w:rPr>
          <w:rStyle w:val="VerbatimChar"/>
        </w:rPr>
        <w:t xml:space="preserve">  Bkr--&gt;&gt;Siem: Broker logs + metrics + auth failures</w:t>
      </w:r>
    </w:p>
    <w:bookmarkEnd w:id="28"/>
    <w:bookmarkStart w:id="29" w:name="risk-response-matrix"/>
    <w:p>
      <w:pPr>
        <w:pStyle w:val="Heading2"/>
      </w:pPr>
      <w:r>
        <w:t xml:space="preserve">Risk response matrix</w:t>
      </w:r>
    </w:p>
    <w:p>
      <w:pPr>
        <w:pStyle w:val="FirstParagraph"/>
      </w:pPr>
      <w:r>
        <w:t xml:space="preserve">Short mapping table (details follow). Table entries are intentionally terse to avoid burying prose in rows.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Risk from register</w:t>
            </w:r>
          </w:p>
        </w:tc>
        <w:tc>
          <w:tcPr/>
          <w:p>
            <w:pPr>
              <w:pStyle w:val="Compact"/>
              <w:jc w:val="right"/>
            </w:pPr>
            <w:r>
              <w:t xml:space="preserve">Priority</w:t>
            </w:r>
          </w:p>
        </w:tc>
        <w:tc>
          <w:tcPr/>
          <w:p>
            <w:pPr>
              <w:pStyle w:val="Compact"/>
              <w:jc w:val="right"/>
            </w:pPr>
            <w:r>
              <w:t xml:space="preserve">Effort</w:t>
            </w:r>
          </w:p>
        </w:tc>
        <w:tc>
          <w:tcPr/>
          <w:p>
            <w:pPr>
              <w:pStyle w:val="Compact"/>
            </w:pPr>
            <w:r>
              <w:t xml:space="preserve">Mitigation highlights</w:t>
            </w:r>
          </w:p>
        </w:tc>
        <w:tc>
          <w:tcPr/>
          <w:p>
            <w:pPr>
              <w:pStyle w:val="Compact"/>
            </w:pPr>
            <w:r>
              <w:t xml:space="preserve">Verification &amp; metrics</w:t>
            </w:r>
          </w:p>
        </w:tc>
      </w:tr>
      <w:tr>
        <w:tc>
          <w:tcPr/>
          <w:p>
            <w:pPr>
              <w:pStyle w:val="Compact"/>
            </w:pPr>
            <w:r>
              <w:t xml:space="preserve">New OT middleware (no pharma track record)</w:t>
            </w:r>
          </w:p>
        </w:tc>
        <w:tc>
          <w:tcPr/>
          <w:p>
            <w:pPr>
              <w:pStyle w:val="Compact"/>
              <w:jc w:val="right"/>
            </w:pPr>
            <w:r>
              <w:t xml:space="preserve">High</w:t>
            </w:r>
          </w:p>
        </w:tc>
        <w:tc>
          <w:tcPr/>
          <w:p>
            <w:pPr>
              <w:pStyle w:val="Compact"/>
              <w:jc w:val="right"/>
            </w:pPr>
            <w:r>
              <w:t xml:space="preserve">Medium</w:t>
            </w:r>
          </w:p>
        </w:tc>
        <w:tc>
          <w:tcPr/>
          <w:p>
            <w:pPr>
              <w:pStyle w:val="Compact"/>
            </w:pPr>
            <w:r>
              <w:t xml:space="preserve">Supplier qualification + QA agreement, URS/risk-based validation</w:t>
            </w:r>
          </w:p>
        </w:tc>
        <w:tc>
          <w:tcPr/>
          <w:p>
            <w:pPr>
              <w:pStyle w:val="Compact"/>
            </w:pPr>
            <w:r>
              <w:t xml:space="preserve">Supplier audit complete; URS traceability; pilot exit criteria met</w:t>
            </w:r>
          </w:p>
        </w:tc>
      </w:tr>
      <w:tr>
        <w:tc>
          <w:tcPr/>
          <w:p>
            <w:pPr>
              <w:pStyle w:val="Compact"/>
            </w:pPr>
            <w:r>
              <w:t xml:space="preserve">Bridging IT/OT networks</w:t>
            </w:r>
          </w:p>
        </w:tc>
        <w:tc>
          <w:tcPr/>
          <w:p>
            <w:pPr>
              <w:pStyle w:val="Compact"/>
              <w:jc w:val="right"/>
            </w:pPr>
            <w:r>
              <w:t xml:space="preserve">High</w:t>
            </w:r>
          </w:p>
        </w:tc>
        <w:tc>
          <w:tcPr/>
          <w:p>
            <w:pPr>
              <w:pStyle w:val="Compact"/>
              <w:jc w:val="right"/>
            </w:pPr>
            <w:r>
              <w:t xml:space="preserve">Medium</w:t>
            </w:r>
          </w:p>
        </w:tc>
        <w:tc>
          <w:tcPr/>
          <w:p>
            <w:pPr>
              <w:pStyle w:val="Compact"/>
            </w:pPr>
            <w:r>
              <w:t xml:space="preserve">Guardrails vs drift; app-layer allowlists; continuous conduit review</w:t>
            </w:r>
          </w:p>
        </w:tc>
        <w:tc>
          <w:tcPr/>
          <w:p>
            <w:pPr>
              <w:pStyle w:val="Compact"/>
            </w:pPr>
            <w:r>
              <w:t xml:space="preserve">Firewall rule recertification; blocked pivot tests; anomaly alerts</w:t>
            </w:r>
          </w:p>
        </w:tc>
      </w:tr>
      <w:tr>
        <w:tc>
          <w:tcPr/>
          <w:p>
            <w:pPr>
              <w:pStyle w:val="Compact"/>
            </w:pPr>
            <w:r>
              <w:t xml:space="preserve">Data-critical middleware</w:t>
            </w:r>
          </w:p>
        </w:tc>
        <w:tc>
          <w:tcPr/>
          <w:p>
            <w:pPr>
              <w:pStyle w:val="Compact"/>
              <w:jc w:val="right"/>
            </w:pPr>
            <w:r>
              <w:t xml:space="preserve">High</w:t>
            </w:r>
          </w:p>
        </w:tc>
        <w:tc>
          <w:tcPr/>
          <w:p>
            <w:pPr>
              <w:pStyle w:val="Compact"/>
              <w:jc w:val="right"/>
            </w:pPr>
            <w:r>
              <w:t xml:space="preserve">High</w:t>
            </w:r>
          </w:p>
        </w:tc>
        <w:tc>
          <w:tcPr/>
          <w:p>
            <w:pPr>
              <w:pStyle w:val="Compact"/>
            </w:pPr>
            <w:r>
              <w:t xml:space="preserve">HA + buffering + DR; overload protection; RTO/RPO</w:t>
            </w:r>
          </w:p>
        </w:tc>
        <w:tc>
          <w:tcPr/>
          <w:p>
            <w:pPr>
              <w:pStyle w:val="Compact"/>
            </w:pPr>
            <w:r>
              <w:t xml:space="preserve">Failover time; drop/dup rate; backlog size; DR restore time</w:t>
            </w:r>
          </w:p>
        </w:tc>
      </w:tr>
      <w:tr>
        <w:tc>
          <w:tcPr/>
          <w:p>
            <w:pPr>
              <w:pStyle w:val="Compact"/>
            </w:pPr>
            <w:r>
              <w:t xml:space="preserve">Inductive Automation limited pharma experience</w:t>
            </w:r>
          </w:p>
        </w:tc>
        <w:tc>
          <w:tcPr/>
          <w:p>
            <w:pPr>
              <w:pStyle w:val="Compact"/>
              <w:jc w:val="right"/>
            </w:pPr>
            <w:r>
              <w:t xml:space="preserve">Medium</w:t>
            </w:r>
          </w:p>
        </w:tc>
        <w:tc>
          <w:tcPr/>
          <w:p>
            <w:pPr>
              <w:pStyle w:val="Compact"/>
              <w:jc w:val="right"/>
            </w:pPr>
            <w:r>
              <w:t xml:space="preserve">Medium</w:t>
            </w:r>
          </w:p>
        </w:tc>
        <w:tc>
          <w:tcPr/>
          <w:p>
            <w:pPr>
              <w:pStyle w:val="Compact"/>
            </w:pPr>
            <w:r>
              <w:t xml:space="preserve">Enhanced supplier oversight; hardening baseline; controlled upgrades</w:t>
            </w:r>
          </w:p>
        </w:tc>
        <w:tc>
          <w:tcPr/>
          <w:p>
            <w:pPr>
              <w:pStyle w:val="Compact"/>
            </w:pPr>
            <w:r>
              <w:t xml:space="preserve">Validation evidence; patch cadence; audit log coverage</w:t>
            </w:r>
          </w:p>
        </w:tc>
      </w:tr>
      <w:tr>
        <w:tc>
          <w:tcPr/>
          <w:p>
            <w:pPr>
              <w:pStyle w:val="Compact"/>
            </w:pPr>
            <w:r>
              <w:t xml:space="preserve">E2E data flow for batch record completeness</w:t>
            </w:r>
          </w:p>
        </w:tc>
        <w:tc>
          <w:tcPr/>
          <w:p>
            <w:pPr>
              <w:pStyle w:val="Compact"/>
              <w:jc w:val="right"/>
            </w:pPr>
            <w:r>
              <w:t xml:space="preserve">High</w:t>
            </w:r>
          </w:p>
        </w:tc>
        <w:tc>
          <w:tcPr/>
          <w:p>
            <w:pPr>
              <w:pStyle w:val="Compact"/>
              <w:jc w:val="right"/>
            </w:pPr>
            <w:r>
              <w:t xml:space="preserve">High</w:t>
            </w:r>
          </w:p>
        </w:tc>
        <w:tc>
          <w:tcPr/>
          <w:p>
            <w:pPr>
              <w:pStyle w:val="Compact"/>
            </w:pPr>
            <w:r>
              <w:t xml:space="preserve">Reconciliation + source-of-truth rules + idempotency</w:t>
            </w:r>
          </w:p>
        </w:tc>
        <w:tc>
          <w:tcPr/>
          <w:p>
            <w:pPr>
              <w:pStyle w:val="Compact"/>
            </w:pPr>
            <w:r>
              <w:t xml:space="preserve">% batches with missing events; reconciliation exceptions</w:t>
            </w:r>
          </w:p>
        </w:tc>
      </w:tr>
      <w:tr>
        <w:tc>
          <w:tcPr/>
          <w:p>
            <w:pPr>
              <w:pStyle w:val="Compact"/>
            </w:pPr>
            <w:r>
              <w:t xml:space="preserve">IT/OT boundary understanding</w:t>
            </w:r>
          </w:p>
        </w:tc>
        <w:tc>
          <w:tcPr/>
          <w:p>
            <w:pPr>
              <w:pStyle w:val="Compact"/>
              <w:jc w:val="right"/>
            </w:pPr>
            <w:r>
              <w:t xml:space="preserve">High</w:t>
            </w:r>
          </w:p>
        </w:tc>
        <w:tc>
          <w:tcPr/>
          <w:p>
            <w:pPr>
              <w:pStyle w:val="Compact"/>
              <w:jc w:val="right"/>
            </w:pPr>
            <w:r>
              <w:t xml:space="preserve">Medium</w:t>
            </w:r>
          </w:p>
        </w:tc>
        <w:tc>
          <w:tcPr/>
          <w:p>
            <w:pPr>
              <w:pStyle w:val="Compact"/>
            </w:pPr>
            <w:r>
              <w:t xml:space="preserve">RACI + governance + ICDs + change control</w:t>
            </w:r>
          </w:p>
        </w:tc>
        <w:tc>
          <w:tcPr/>
          <w:p>
            <w:pPr>
              <w:pStyle w:val="Compact"/>
            </w:pPr>
            <w:r>
              <w:t xml:space="preserve">Ownership clarity; change audit pass rate</w:t>
            </w:r>
          </w:p>
        </w:tc>
      </w:tr>
      <w:tr>
        <w:tc>
          <w:tcPr/>
          <w:p>
            <w:pPr>
              <w:pStyle w:val="Compact"/>
            </w:pPr>
            <w:r>
              <w:t xml:space="preserve">Multi-DCS integration complexity</w:t>
            </w:r>
          </w:p>
        </w:tc>
        <w:tc>
          <w:tcPr/>
          <w:p>
            <w:pPr>
              <w:pStyle w:val="Compact"/>
              <w:jc w:val="right"/>
            </w:pPr>
            <w:r>
              <w:t xml:space="preserve">Medium</w:t>
            </w:r>
          </w:p>
        </w:tc>
        <w:tc>
          <w:tcPr/>
          <w:p>
            <w:pPr>
              <w:pStyle w:val="Compact"/>
              <w:jc w:val="right"/>
            </w:pPr>
            <w:r>
              <w:t xml:space="preserve">High</w:t>
            </w:r>
          </w:p>
        </w:tc>
        <w:tc>
          <w:tcPr/>
          <w:p>
            <w:pPr>
              <w:pStyle w:val="Compact"/>
            </w:pPr>
            <w:r>
              <w:t xml:space="preserve">Canonical model + contract tests + semantic checks</w:t>
            </w:r>
          </w:p>
        </w:tc>
        <w:tc>
          <w:tcPr/>
          <w:p>
            <w:pPr>
              <w:pStyle w:val="Compact"/>
            </w:pPr>
            <w:r>
              <w:t xml:space="preserve">Schema conformance; mapping test pass rate</w:t>
            </w:r>
          </w:p>
        </w:tc>
      </w:tr>
      <w:tr>
        <w:tc>
          <w:tcPr/>
          <w:p>
            <w:pPr>
              <w:pStyle w:val="Compact"/>
            </w:pPr>
            <w:r>
              <w:t xml:space="preserve">Data integrity/ALCOA requirements</w:t>
            </w:r>
          </w:p>
        </w:tc>
        <w:tc>
          <w:tcPr/>
          <w:p>
            <w:pPr>
              <w:pStyle w:val="Compact"/>
              <w:jc w:val="right"/>
            </w:pPr>
            <w:r>
              <w:t xml:space="preserve">High</w:t>
            </w:r>
          </w:p>
        </w:tc>
        <w:tc>
          <w:tcPr/>
          <w:p>
            <w:pPr>
              <w:pStyle w:val="Compact"/>
              <w:jc w:val="right"/>
            </w:pPr>
            <w:r>
              <w:t xml:space="preserve">High</w:t>
            </w:r>
          </w:p>
        </w:tc>
        <w:tc>
          <w:tcPr/>
          <w:p>
            <w:pPr>
              <w:pStyle w:val="Compact"/>
            </w:pPr>
            <w:r>
              <w:t xml:space="preserve">Audit trails + metadata preservation + time sync + review</w:t>
            </w:r>
          </w:p>
        </w:tc>
        <w:tc>
          <w:tcPr/>
          <w:p>
            <w:pPr>
              <w:pStyle w:val="Compact"/>
            </w:pPr>
            <w:r>
              <w:t xml:space="preserve">Audit trail sampling pass; time drift; audit review completion</w:t>
            </w:r>
          </w:p>
        </w:tc>
      </w:tr>
      <w:tr>
        <w:tc>
          <w:tcPr/>
          <w:p>
            <w:pPr>
              <w:pStyle w:val="Compact"/>
            </w:pPr>
            <w:r>
              <w:t xml:space="preserve">Batch record completeness dependency</w:t>
            </w:r>
          </w:p>
        </w:tc>
        <w:tc>
          <w:tcPr/>
          <w:p>
            <w:pPr>
              <w:pStyle w:val="Compact"/>
              <w:jc w:val="right"/>
            </w:pPr>
            <w:r>
              <w:t xml:space="preserve">High</w:t>
            </w:r>
          </w:p>
        </w:tc>
        <w:tc>
          <w:tcPr/>
          <w:p>
            <w:pPr>
              <w:pStyle w:val="Compact"/>
              <w:jc w:val="right"/>
            </w:pPr>
            <w:r>
              <w:t xml:space="preserve">High</w:t>
            </w:r>
          </w:p>
        </w:tc>
        <w:tc>
          <w:tcPr/>
          <w:p>
            <w:pPr>
              <w:pStyle w:val="Compact"/>
            </w:pPr>
            <w:r>
              <w:t xml:space="preserve">Don’t make bus sole record; fallback capture; HA+SOPs</w:t>
            </w:r>
          </w:p>
        </w:tc>
        <w:tc>
          <w:tcPr/>
          <w:p>
            <w:pPr>
              <w:pStyle w:val="Compact"/>
            </w:pPr>
            <w:r>
              <w:t xml:space="preserve">Batch review exceptions; manual fallback drill success</w:t>
            </w:r>
          </w:p>
        </w:tc>
      </w:tr>
      <w:tr>
        <w:tc>
          <w:tcPr/>
          <w:p>
            <w:pPr>
              <w:pStyle w:val="Compact"/>
            </w:pPr>
            <w:r>
              <w:t xml:space="preserve">CSA validation of new platform</w:t>
            </w:r>
          </w:p>
        </w:tc>
        <w:tc>
          <w:tcPr/>
          <w:p>
            <w:pPr>
              <w:pStyle w:val="Compact"/>
              <w:jc w:val="right"/>
            </w:pPr>
            <w:r>
              <w:t xml:space="preserve">High</w:t>
            </w:r>
          </w:p>
        </w:tc>
        <w:tc>
          <w:tcPr/>
          <w:p>
            <w:pPr>
              <w:pStyle w:val="Compact"/>
              <w:jc w:val="right"/>
            </w:pPr>
            <w:r>
              <w:t xml:space="preserve">High</w:t>
            </w:r>
          </w:p>
        </w:tc>
        <w:tc>
          <w:tcPr/>
          <w:p>
            <w:pPr>
              <w:pStyle w:val="Compact"/>
            </w:pPr>
            <w:r>
              <w:t xml:space="preserve">Risk-based assurance; traceability; periodic review</w:t>
            </w:r>
          </w:p>
        </w:tc>
        <w:tc>
          <w:tcPr/>
          <w:p>
            <w:pPr>
              <w:pStyle w:val="Compact"/>
            </w:pPr>
            <w:r>
              <w:t xml:space="preserve">Validation completeness; periodic review findings trend</w:t>
            </w:r>
          </w:p>
        </w:tc>
      </w:tr>
      <w:tr>
        <w:tc>
          <w:tcPr/>
          <w:p>
            <w:pPr>
              <w:pStyle w:val="Compact"/>
            </w:pPr>
            <w:r>
              <w:t xml:space="preserve">Crosses DMZ between OT and IT</w:t>
            </w:r>
          </w:p>
        </w:tc>
        <w:tc>
          <w:tcPr/>
          <w:p>
            <w:pPr>
              <w:pStyle w:val="Compact"/>
              <w:jc w:val="right"/>
            </w:pPr>
            <w:r>
              <w:t xml:space="preserve">High</w:t>
            </w:r>
          </w:p>
        </w:tc>
        <w:tc>
          <w:tcPr/>
          <w:p>
            <w:pPr>
              <w:pStyle w:val="Compact"/>
              <w:jc w:val="right"/>
            </w:pPr>
            <w:r>
              <w:t xml:space="preserve">Medium</w:t>
            </w:r>
          </w:p>
        </w:tc>
        <w:tc>
          <w:tcPr/>
          <w:p>
            <w:pPr>
              <w:pStyle w:val="Compact"/>
            </w:pPr>
            <w:r>
              <w:t xml:space="preserve">Harden DMZ services; least functionality; monitor DMZ assets</w:t>
            </w:r>
          </w:p>
        </w:tc>
        <w:tc>
          <w:tcPr/>
          <w:p>
            <w:pPr>
              <w:pStyle w:val="Compact"/>
            </w:pPr>
            <w:r>
              <w:t xml:space="preserve">DMZ vuln scans; detected suspicious activity; log completeness</w:t>
            </w:r>
          </w:p>
        </w:tc>
      </w:tr>
      <w:tr>
        <w:tc>
          <w:tcPr/>
          <w:p>
            <w:pPr>
              <w:pStyle w:val="Compact"/>
            </w:pPr>
            <w:r>
              <w:t xml:space="preserve">New attack surface from IT/OT convergence</w:t>
            </w:r>
          </w:p>
        </w:tc>
        <w:tc>
          <w:tcPr/>
          <w:p>
            <w:pPr>
              <w:pStyle w:val="Compact"/>
              <w:jc w:val="right"/>
            </w:pPr>
            <w:r>
              <w:t xml:space="preserve">High</w:t>
            </w:r>
          </w:p>
        </w:tc>
        <w:tc>
          <w:tcPr/>
          <w:p>
            <w:pPr>
              <w:pStyle w:val="Compact"/>
              <w:jc w:val="right"/>
            </w:pPr>
            <w:r>
              <w:t xml:space="preserve">High</w:t>
            </w:r>
          </w:p>
        </w:tc>
        <w:tc>
          <w:tcPr/>
          <w:p>
            <w:pPr>
              <w:pStyle w:val="Compact"/>
            </w:pPr>
            <w:r>
              <w:t xml:space="preserve">Remove “allow-all”; strict authz; pen tests; harden admin UIs</w:t>
            </w:r>
          </w:p>
        </w:tc>
        <w:tc>
          <w:tcPr/>
          <w:p>
            <w:pPr>
              <w:pStyle w:val="Compact"/>
            </w:pPr>
            <w:r>
              <w:t xml:space="preserve">Unauthorized pub/sub attempts blocked; pen test results</w:t>
            </w:r>
          </w:p>
        </w:tc>
      </w:tr>
      <w:tr>
        <w:tc>
          <w:tcPr/>
          <w:p>
            <w:pPr>
              <w:pStyle w:val="Compact"/>
            </w:pPr>
            <w:r>
              <w:t xml:space="preserve">Skills gap (limited expertise at pharma scale)</w:t>
            </w:r>
          </w:p>
        </w:tc>
        <w:tc>
          <w:tcPr/>
          <w:p>
            <w:pPr>
              <w:pStyle w:val="Compact"/>
              <w:jc w:val="right"/>
            </w:pPr>
            <w:r>
              <w:t xml:space="preserve">High</w:t>
            </w:r>
          </w:p>
        </w:tc>
        <w:tc>
          <w:tcPr/>
          <w:p>
            <w:pPr>
              <w:pStyle w:val="Compact"/>
              <w:jc w:val="right"/>
            </w:pPr>
            <w:r>
              <w:t xml:space="preserve">Medium</w:t>
            </w:r>
          </w:p>
        </w:tc>
        <w:tc>
          <w:tcPr/>
          <w:p>
            <w:pPr>
              <w:pStyle w:val="Compact"/>
            </w:pPr>
            <w:r>
              <w:t xml:space="preserve">Role-based training; runbooks; drills; configuration discipline</w:t>
            </w:r>
          </w:p>
        </w:tc>
        <w:tc>
          <w:tcPr/>
          <w:p>
            <w:pPr>
              <w:pStyle w:val="Compact"/>
            </w:pPr>
            <w:r>
              <w:t xml:space="preserve">Training completion; drill scores; incident MTTR trend</w:t>
            </w:r>
          </w:p>
        </w:tc>
      </w:tr>
      <w:tr>
        <w:tc>
          <w:tcPr/>
          <w:p>
            <w:pPr>
              <w:pStyle w:val="Compact"/>
            </w:pPr>
            <w:r>
              <w:t xml:space="preserve">Resourcing unknowns</w:t>
            </w:r>
          </w:p>
        </w:tc>
        <w:tc>
          <w:tcPr/>
          <w:p>
            <w:pPr>
              <w:pStyle w:val="Compact"/>
              <w:jc w:val="right"/>
            </w:pPr>
            <w:r>
              <w:t xml:space="preserve">Medium</w:t>
            </w:r>
          </w:p>
        </w:tc>
        <w:tc>
          <w:tcPr/>
          <w:p>
            <w:pPr>
              <w:pStyle w:val="Compact"/>
              <w:jc w:val="right"/>
            </w:pPr>
            <w:r>
              <w:t xml:space="preserve">Medium</w:t>
            </w:r>
          </w:p>
        </w:tc>
        <w:tc>
          <w:tcPr/>
          <w:p>
            <w:pPr>
              <w:pStyle w:val="Compact"/>
            </w:pPr>
            <w:r>
              <w:t xml:space="preserve">Operating model + on-call + SLOs + capacity management</w:t>
            </w:r>
          </w:p>
        </w:tc>
        <w:tc>
          <w:tcPr/>
          <w:p>
            <w:pPr>
              <w:pStyle w:val="Compact"/>
            </w:pPr>
            <w:r>
              <w:t xml:space="preserve">Coverage; MTTA/MTTR; capacity headroom</w:t>
            </w:r>
          </w:p>
        </w:tc>
      </w:tr>
      <w:tr>
        <w:tc>
          <w:tcPr/>
          <w:p>
            <w:pPr>
              <w:pStyle w:val="Compact"/>
            </w:pPr>
            <w:r>
              <w:t xml:space="preserve">Training requirements</w:t>
            </w:r>
          </w:p>
        </w:tc>
        <w:tc>
          <w:tcPr/>
          <w:p>
            <w:pPr>
              <w:pStyle w:val="Compact"/>
              <w:jc w:val="right"/>
            </w:pPr>
            <w:r>
              <w:t xml:space="preserve">Medium</w:t>
            </w:r>
          </w:p>
        </w:tc>
        <w:tc>
          <w:tcPr/>
          <w:p>
            <w:pPr>
              <w:pStyle w:val="Compact"/>
              <w:jc w:val="right"/>
            </w:pPr>
            <w:r>
              <w:t xml:space="preserve">Medium</w:t>
            </w:r>
          </w:p>
        </w:tc>
        <w:tc>
          <w:tcPr/>
          <w:p>
            <w:pPr>
              <w:pStyle w:val="Compact"/>
            </w:pPr>
            <w:r>
              <w:t xml:space="preserve">Part 11/DI-aligned training + competency sign-off</w:t>
            </w:r>
          </w:p>
        </w:tc>
        <w:tc>
          <w:tcPr/>
          <w:p>
            <w:pPr>
              <w:pStyle w:val="Compact"/>
            </w:pPr>
            <w:r>
              <w:t xml:space="preserve">Training audit pass; competency test pass rate</w:t>
            </w:r>
          </w:p>
        </w:tc>
      </w:tr>
      <w:tr>
        <w:tc>
          <w:tcPr/>
          <w:p>
            <w:pPr>
              <w:pStyle w:val="Compact"/>
            </w:pPr>
            <w:r>
              <w:t xml:space="preserve">Aggressive timeline</w:t>
            </w:r>
          </w:p>
        </w:tc>
        <w:tc>
          <w:tcPr/>
          <w:p>
            <w:pPr>
              <w:pStyle w:val="Compact"/>
              <w:jc w:val="right"/>
            </w:pPr>
            <w:r>
              <w:t xml:space="preserve">Medium</w:t>
            </w:r>
          </w:p>
        </w:tc>
        <w:tc>
          <w:tcPr/>
          <w:p>
            <w:pPr>
              <w:pStyle w:val="Compact"/>
              <w:jc w:val="right"/>
            </w:pPr>
            <w:r>
              <w:t xml:space="preserve">Medium</w:t>
            </w:r>
          </w:p>
        </w:tc>
        <w:tc>
          <w:tcPr/>
          <w:p>
            <w:pPr>
              <w:pStyle w:val="Compact"/>
            </w:pPr>
            <w:r>
              <w:t xml:space="preserve">Stage gates; de-scope; pilot-first; exit criteria</w:t>
            </w:r>
          </w:p>
        </w:tc>
        <w:tc>
          <w:tcPr/>
          <w:p>
            <w:pPr>
              <w:pStyle w:val="Compact"/>
            </w:pPr>
            <w:r>
              <w:t xml:space="preserve">Gate adherence; defect density; rework rate</w:t>
            </w:r>
          </w:p>
        </w:tc>
      </w:tr>
      <w:tr>
        <w:tc>
          <w:tcPr/>
          <w:p>
            <w:pPr>
              <w:pStyle w:val="Compact"/>
            </w:pPr>
            <w:r>
              <w:t xml:space="preserve">Resource constraints</w:t>
            </w:r>
          </w:p>
        </w:tc>
        <w:tc>
          <w:tcPr/>
          <w:p>
            <w:pPr>
              <w:pStyle w:val="Compact"/>
              <w:jc w:val="right"/>
            </w:pPr>
            <w:r>
              <w:t xml:space="preserve">Medium</w:t>
            </w:r>
          </w:p>
        </w:tc>
        <w:tc>
          <w:tcPr/>
          <w:p>
            <w:pPr>
              <w:pStyle w:val="Compact"/>
              <w:jc w:val="right"/>
            </w:pPr>
            <w:r>
              <w:t xml:space="preserve">Medium</w:t>
            </w:r>
          </w:p>
        </w:tc>
        <w:tc>
          <w:tcPr/>
          <w:p>
            <w:pPr>
              <w:pStyle w:val="Compact"/>
            </w:pPr>
            <w:r>
              <w:t xml:space="preserve">Automate testing/monitoring; limit scope; standard templates</w:t>
            </w:r>
          </w:p>
        </w:tc>
        <w:tc>
          <w:tcPr/>
          <w:p>
            <w:pPr>
              <w:pStyle w:val="Compact"/>
            </w:pPr>
            <w:r>
              <w:t xml:space="preserve">Change throughput vs backlog; automation coverage</w:t>
            </w:r>
          </w:p>
        </w:tc>
      </w:tr>
      <w:tr>
        <w:tc>
          <w:tcPr/>
          <w:p>
            <w:pPr>
              <w:pStyle w:val="Compact"/>
            </w:pPr>
            <w:r>
              <w:t xml:space="preserve">Vendor support questioned</w:t>
            </w:r>
          </w:p>
        </w:tc>
        <w:tc>
          <w:tcPr/>
          <w:p>
            <w:pPr>
              <w:pStyle w:val="Compact"/>
              <w:jc w:val="right"/>
            </w:pPr>
            <w:r>
              <w:t xml:space="preserve">Medium</w:t>
            </w:r>
          </w:p>
        </w:tc>
        <w:tc>
          <w:tcPr/>
          <w:p>
            <w:pPr>
              <w:pStyle w:val="Compact"/>
              <w:jc w:val="right"/>
            </w:pPr>
            <w:r>
              <w:t xml:space="preserve">Medium</w:t>
            </w:r>
          </w:p>
        </w:tc>
        <w:tc>
          <w:tcPr/>
          <w:p>
            <w:pPr>
              <w:pStyle w:val="Compact"/>
            </w:pPr>
            <w:r>
              <w:t xml:space="preserve">SLAs + escalation drills; internal restore capability</w:t>
            </w:r>
          </w:p>
        </w:tc>
        <w:tc>
          <w:tcPr/>
          <w:p>
            <w:pPr>
              <w:pStyle w:val="Compact"/>
            </w:pPr>
            <w:r>
              <w:t xml:space="preserve">SLA compliance; restore drills; patch lead time</w:t>
            </w:r>
          </w:p>
        </w:tc>
      </w:tr>
    </w:tbl>
    <w:bookmarkEnd w:id="29"/>
    <w:bookmarkStart w:id="44" w:name="risk-by-risk-analysis-and-mitigations"/>
    <w:p>
      <w:pPr>
        <w:pStyle w:val="Heading2"/>
      </w:pPr>
      <w:r>
        <w:t xml:space="preserve">Risk-by-risk analysis and mitigations</w:t>
      </w:r>
    </w:p>
    <w:p>
      <w:pPr>
        <w:pStyle w:val="FirstParagraph"/>
      </w:pPr>
      <w:r>
        <w:t xml:space="preserve">Each subsection below corresponds to a risk item in the attached document.</w:t>
      </w:r>
    </w:p>
    <w:p>
      <w:pPr>
        <w:pStyle w:val="BodyText"/>
      </w:pPr>
      <w:r>
        <w:rPr>
          <w:b/>
          <w:bCs/>
        </w:rPr>
        <w:t xml:space="preserve">Risk: New OT middleware (no pharma track record)</w:t>
      </w:r>
      <w:r>
        <w:br/>
      </w:r>
      <w:r>
        <w:t xml:space="preserve">Validation: This remains a legitimate concern even with mature network/IAM because regulatory expectations focus on</w:t>
      </w:r>
      <w:r>
        <w:t xml:space="preserve"> </w:t>
      </w:r>
      <w:r>
        <w:rPr>
          <w:i/>
          <w:iCs/>
        </w:rPr>
        <w:t xml:space="preserve">system lifecycle control</w:t>
      </w:r>
      <w:r>
        <w:t xml:space="preserve"> </w:t>
      </w:r>
      <w:r>
        <w:t xml:space="preserve">(supplier oversight, validation, auditability, and maintaining a validated state). EU Annex 11 explicitly calls supplier competence/reliability a key selection factor, requires risk-based decisions on whether to audit, and requires formal agreements with third parties providing/maintaining computerized systems. Those expectations exist regardless of how well segmented the network is.</w:t>
      </w:r>
      <w:r>
        <w:t xml:space="preserve"> </w:t>
      </w:r>
      <w:hyperlink r:id="rId21">
        <w:r>
          <w:rPr>
            <w:rStyle w:val="Hyperlink"/>
          </w:rPr>
          <w:t xml:space="preserve">[7]</w:t>
        </w:r>
      </w:hyperlink>
      <w:r>
        <w:br/>
      </w:r>
      <w:r>
        <w:t xml:space="preserve">Mitigations (tailored to “best-practice topology/IAM”):</w:t>
      </w:r>
      <w:r>
        <w:t xml:space="preserve"> </w:t>
      </w:r>
      <w:r>
        <w:t xml:space="preserve">- Establish a formal supplier qualification package for each component vendor and any integrator (Priority: High, Effort: Medium).</w:t>
      </w:r>
      <w:r>
        <w:t xml:space="preserve"> </w:t>
      </w:r>
      <w:hyperlink r:id="rId21">
        <w:r>
          <w:rPr>
            <w:rStyle w:val="Hyperlink"/>
          </w:rPr>
          <w:t xml:space="preserve">[8]</w:t>
        </w:r>
      </w:hyperlink>
      <w:r>
        <w:br/>
      </w:r>
      <w:r>
        <w:t xml:space="preserve">- Create a risk-based URS that explicitly classifies data flows as “GMP-critical / GMP-supporting / non-GMP” and defines required controls per class (Priority: High, Effort: Medium).</w:t>
      </w:r>
      <w:r>
        <w:t xml:space="preserve"> </w:t>
      </w:r>
      <w:hyperlink r:id="rId21">
        <w:r>
          <w:rPr>
            <w:rStyle w:val="Hyperlink"/>
          </w:rPr>
          <w:t xml:space="preserve">[9]</w:t>
        </w:r>
      </w:hyperlink>
      <w:r>
        <w:br/>
      </w:r>
      <w:r>
        <w:t xml:space="preserve">- Implement a quality agreement that covers security updates, support response, remote access controls, and responsibilities (Priority: High, Effort: Low).</w:t>
      </w:r>
      <w:r>
        <w:t xml:space="preserve"> </w:t>
      </w:r>
      <w:hyperlink r:id="rId21">
        <w:r>
          <w:rPr>
            <w:rStyle w:val="Hyperlink"/>
          </w:rPr>
          <w:t xml:space="preserve">[10]</w:t>
        </w:r>
      </w:hyperlink>
      <w:r>
        <w:br/>
      </w:r>
      <w:r>
        <w:t xml:space="preserve">Verification &amp; metrics:</w:t>
      </w:r>
      <w:r>
        <w:t xml:space="preserve"> </w:t>
      </w:r>
      <w:r>
        <w:t xml:space="preserve">- Supplier assessment/audit completed; findings closed within target SLA; QA sign-off in place.</w:t>
      </w:r>
      <w:r>
        <w:t xml:space="preserve"> </w:t>
      </w:r>
      <w:hyperlink r:id="rId21">
        <w:r>
          <w:rPr>
            <w:rStyle w:val="Hyperlink"/>
          </w:rPr>
          <w:t xml:space="preserve">[8]</w:t>
        </w:r>
      </w:hyperlink>
      <w:r>
        <w:br/>
      </w:r>
      <w:r>
        <w:t xml:space="preserve">- URS traceability: % URS requirements mapped to tests; % tests passing; deviation closure time.</w:t>
      </w:r>
      <w:r>
        <w:t xml:space="preserve"> </w:t>
      </w:r>
      <w:hyperlink r:id="rId21">
        <w:r>
          <w:rPr>
            <w:rStyle w:val="Hyperlink"/>
          </w:rPr>
          <w:t xml:space="preserve">[11]</w:t>
        </w:r>
      </w:hyperlink>
      <w:r>
        <w:br/>
      </w:r>
      <w:r>
        <w:t xml:space="preserve">Residual risk / trade-offs: You will spend more time up front on governance and evidence. The trade-off is reduced inspection risk and fewer “unknown unknowns” when scaling and upgrading.</w:t>
      </w:r>
    </w:p>
    <w:p>
      <w:pPr>
        <w:pStyle w:val="BodyText"/>
      </w:pPr>
      <w:r>
        <w:rPr>
          <w:b/>
          <w:bCs/>
        </w:rPr>
        <w:t xml:space="preserve">Risk: Bridging IT/OT networks</w:t>
      </w:r>
      <w:r>
        <w:br/>
      </w:r>
      <w:r>
        <w:t xml:space="preserve">Validation: Best-practice segmentation reduces likelihood but does not eliminate risk because the plant bus still becomes a privileged conduit for data, and the highest residual risks come from drift (rule creep), misconfiguration, and compromise of DMZ services to pivot inward. NIST explicitly warns DMZ services must be monitored and protected to avoid compromises that enable pivoting into OT.</w:t>
      </w:r>
      <w:r>
        <w:t xml:space="preserve"> </w:t>
      </w:r>
      <w:hyperlink r:id="rId26">
        <w:r>
          <w:rPr>
            <w:rStyle w:val="Hyperlink"/>
          </w:rPr>
          <w:t xml:space="preserve">[5]</w:t>
        </w:r>
      </w:hyperlink>
      <w:r>
        <w:br/>
      </w:r>
      <w:r>
        <w:t xml:space="preserve">Mitigations:</w:t>
      </w:r>
      <w:r>
        <w:t xml:space="preserve"> </w:t>
      </w:r>
      <w:r>
        <w:t xml:space="preserve">- Implement “anti-drift guardrails” for conduits (automated firewall rule diffing + periodic recertification + change control hooks) (Priority: High, Effort: Medium).</w:t>
      </w:r>
      <w:r>
        <w:t xml:space="preserve"> </w:t>
      </w:r>
      <w:hyperlink r:id="rId26">
        <w:r>
          <w:rPr>
            <w:rStyle w:val="Hyperlink"/>
          </w:rPr>
          <w:t xml:space="preserve">[12]</w:t>
        </w:r>
      </w:hyperlink>
      <w:r>
        <w:br/>
      </w:r>
      <w:r>
        <w:t xml:space="preserve">- Enforce</w:t>
      </w:r>
      <w:r>
        <w:t xml:space="preserve"> </w:t>
      </w:r>
      <w:r>
        <w:rPr>
          <w:b/>
          <w:bCs/>
        </w:rPr>
        <w:t xml:space="preserve">application-layer allowlists</w:t>
      </w:r>
      <w:r>
        <w:t xml:space="preserve">: approved MQTT topic namespaces, approved client identities, and strict publish/subscribe permissions so a single compromised client cannot laterally expand data access (Priority: High, Effort: Medium).</w:t>
      </w:r>
      <w:r>
        <w:t xml:space="preserve"> </w:t>
      </w:r>
      <w:hyperlink r:id="rId30">
        <w:r>
          <w:rPr>
            <w:rStyle w:val="Hyperlink"/>
          </w:rPr>
          <w:t xml:space="preserve">[13]</w:t>
        </w:r>
      </w:hyperlink>
      <w:r>
        <w:br/>
      </w:r>
      <w:r>
        <w:t xml:space="preserve">Verification &amp; metrics:</w:t>
      </w:r>
      <w:r>
        <w:t xml:space="preserve"> </w:t>
      </w:r>
      <w:r>
        <w:t xml:space="preserve">- Quarterly conduit recertification pass; exceptions tracked with CAPA; “no direct non-adjacent connectivity” confirmed.</w:t>
      </w:r>
      <w:r>
        <w:t xml:space="preserve"> </w:t>
      </w:r>
      <w:hyperlink r:id="rId26">
        <w:r>
          <w:rPr>
            <w:rStyle w:val="Hyperlink"/>
          </w:rPr>
          <w:t xml:space="preserve">[12]</w:t>
        </w:r>
      </w:hyperlink>
      <w:r>
        <w:br/>
      </w:r>
      <w:r>
        <w:t xml:space="preserve">- Metric: denied publish/subscribe attempts; unexpected topic access; anomaly detection mean time to detect (MTTD).</w:t>
      </w:r>
      <w:r>
        <w:t xml:space="preserve"> </w:t>
      </w:r>
      <w:hyperlink r:id="rId31">
        <w:r>
          <w:rPr>
            <w:rStyle w:val="Hyperlink"/>
          </w:rPr>
          <w:t xml:space="preserve">[14]</w:t>
        </w:r>
      </w:hyperlink>
      <w:r>
        <w:br/>
      </w:r>
      <w:r>
        <w:t xml:space="preserve">Residual risk / trade-offs: Strong app-layer allowlisting increases onboarding friction for new consumers and requires disciplined topic governance.</w:t>
      </w:r>
    </w:p>
    <w:p>
      <w:pPr>
        <w:pStyle w:val="BodyText"/>
      </w:pPr>
      <w:r>
        <w:rPr>
          <w:b/>
          <w:bCs/>
        </w:rPr>
        <w:t xml:space="preserve">Risk: Data-critical middleware</w:t>
      </w:r>
      <w:r>
        <w:br/>
      </w:r>
      <w:r>
        <w:t xml:space="preserve">Validation: This is legitimate because availability and correctness issues in middleware create downstream data integrity and batch record completeness risk (not just “IT downtime”). FDA data integrity guidance stresses detection of errors/omissions throughout the data lifecycle, and Annex 11 requires backups and verifies ability to restore during validation and periodically. These expectations apply whether the network is secure or not.</w:t>
      </w:r>
      <w:r>
        <w:t xml:space="preserve"> </w:t>
      </w:r>
      <w:hyperlink r:id="rId22">
        <w:r>
          <w:rPr>
            <w:rStyle w:val="Hyperlink"/>
          </w:rPr>
          <w:t xml:space="preserve">[15]</w:t>
        </w:r>
      </w:hyperlink>
      <w:r>
        <w:br/>
      </w:r>
      <w:r>
        <w:t xml:space="preserve">Mitigations:</w:t>
      </w:r>
      <w:r>
        <w:t xml:space="preserve"> </w:t>
      </w:r>
      <w:r>
        <w:t xml:space="preserve">- Engineer end-to-end HA: Ignition redundancy (Priority: High, Effort: High).</w:t>
      </w:r>
      <w:r>
        <w:t xml:space="preserve"> </w:t>
      </w:r>
      <w:hyperlink r:id="rId32">
        <w:r>
          <w:rPr>
            <w:rStyle w:val="Hyperlink"/>
          </w:rPr>
          <w:t xml:space="preserve">[16]</w:t>
        </w:r>
      </w:hyperlink>
      <w:r>
        <w:br/>
      </w:r>
      <w:r>
        <w:t xml:space="preserve">- HighByte HA mode for failover plus store-and-forward buffering for transient outages (Priority: High, Effort: Medium).</w:t>
      </w:r>
      <w:r>
        <w:t xml:space="preserve"> </w:t>
      </w:r>
      <w:hyperlink r:id="rId33">
        <w:r>
          <w:rPr>
            <w:rStyle w:val="Hyperlink"/>
          </w:rPr>
          <w:t xml:space="preserve">[17]</w:t>
        </w:r>
      </w:hyperlink>
      <w:r>
        <w:br/>
      </w:r>
      <w:r>
        <w:t xml:space="preserve">- HiveMQ clustering with configured replica counts appropriate to durability needs, plus backup/restore procedures (Priority: High, Effort: High).</w:t>
      </w:r>
      <w:r>
        <w:t xml:space="preserve"> </w:t>
      </w:r>
      <w:hyperlink r:id="rId34">
        <w:r>
          <w:rPr>
            <w:rStyle w:val="Hyperlink"/>
          </w:rPr>
          <w:t xml:space="preserve">[18]</w:t>
        </w:r>
      </w:hyperlink>
      <w:r>
        <w:br/>
      </w:r>
      <w:r>
        <w:t xml:space="preserve">- Enable HiveMQ overload protection and connection/message rate controls to prevent load spikes from cascading into outages (Priority: Medium, Effort: Medium).</w:t>
      </w:r>
      <w:r>
        <w:t xml:space="preserve"> </w:t>
      </w:r>
      <w:hyperlink r:id="rId35">
        <w:r>
          <w:rPr>
            <w:rStyle w:val="Hyperlink"/>
          </w:rPr>
          <w:t xml:space="preserve">[19]</w:t>
        </w:r>
      </w:hyperlink>
      <w:r>
        <w:br/>
      </w:r>
      <w:r>
        <w:t xml:space="preserve">Verification &amp; metrics:</w:t>
      </w:r>
      <w:r>
        <w:t xml:space="preserve"> </w:t>
      </w:r>
      <w:r>
        <w:t xml:space="preserve">- Failover tests: max failover time (Ignition, HighByte, HiveMQ) within defined RTO; backlog drains within defined recovery window; no critical event loss beyond RPO.</w:t>
      </w:r>
      <w:r>
        <w:t xml:space="preserve"> </w:t>
      </w:r>
      <w:hyperlink r:id="rId32">
        <w:r>
          <w:rPr>
            <w:rStyle w:val="Hyperlink"/>
          </w:rPr>
          <w:t xml:space="preserve">[20]</w:t>
        </w:r>
      </w:hyperlink>
      <w:r>
        <w:br/>
      </w:r>
      <w:r>
        <w:t xml:space="preserve">- Metrics: dropped message count, duplicate rate, end-to-end latency p95/p99, store-and-forward queue depth, cluster replica health.</w:t>
      </w:r>
      <w:r>
        <w:t xml:space="preserve"> </w:t>
      </w:r>
      <w:hyperlink r:id="rId36">
        <w:r>
          <w:rPr>
            <w:rStyle w:val="Hyperlink"/>
          </w:rPr>
          <w:t xml:space="preserve">[21]</w:t>
        </w:r>
      </w:hyperlink>
      <w:r>
        <w:br/>
      </w:r>
      <w:r>
        <w:t xml:space="preserve">Residual risk / trade-offs: HA and buffering reduce outage impact but increase complexity (more certificates, more nodes, more operational procedures) and can increase duplicate deliveries after recovery—consumers must be idempotent.</w:t>
      </w:r>
    </w:p>
    <w:p>
      <w:pPr>
        <w:pStyle w:val="BodyText"/>
      </w:pPr>
      <w:r>
        <w:rPr>
          <w:b/>
          <w:bCs/>
        </w:rPr>
        <w:t xml:space="preserve">Risk: Inductive Automation limited pharma experience</w:t>
      </w:r>
      <w:r>
        <w:br/>
      </w:r>
      <w:r>
        <w:t xml:space="preserve">Validation: This remains legitimate because regulators care about your ability to justify supplier selection and demonstrate validated state over time. Annex 11 requires supplier assessment, URS traceability, and validation documentation covering lifecycle steps with change control records. Those are governance obligations independent of the underlying segmentation/IAM strength.</w:t>
      </w:r>
      <w:r>
        <w:t xml:space="preserve"> </w:t>
      </w:r>
      <w:hyperlink r:id="rId21">
        <w:r>
          <w:rPr>
            <w:rStyle w:val="Hyperlink"/>
          </w:rPr>
          <w:t xml:space="preserve">[22]</w:t>
        </w:r>
      </w:hyperlink>
      <w:r>
        <w:br/>
      </w:r>
      <w:r>
        <w:t xml:space="preserve">Mitigations:</w:t>
      </w:r>
      <w:r>
        <w:t xml:space="preserve"> </w:t>
      </w:r>
      <w:r>
        <w:t xml:space="preserve">- Treat Ignition as a GMP computerized system if it supports GMP decisions: enforce URS/traceability and explicit intended use boundaries (Priority: High, Effort: Medium).</w:t>
      </w:r>
      <w:r>
        <w:t xml:space="preserve"> </w:t>
      </w:r>
      <w:hyperlink r:id="rId21">
        <w:r>
          <w:rPr>
            <w:rStyle w:val="Hyperlink"/>
          </w:rPr>
          <w:t xml:space="preserve">[11]</w:t>
        </w:r>
      </w:hyperlink>
      <w:r>
        <w:br/>
      </w:r>
      <w:r>
        <w:t xml:space="preserve">- Apply Ignition’s official security hardening baseline: enforce HTTPS/TLS as the “first and most important step,” minimize exposed ports, and align configuration to your enterprise certificate automation (Priority: High, Effort: Medium).</w:t>
      </w:r>
      <w:r>
        <w:t xml:space="preserve"> </w:t>
      </w:r>
      <w:hyperlink r:id="rId37">
        <w:r>
          <w:rPr>
            <w:rStyle w:val="Hyperlink"/>
          </w:rPr>
          <w:t xml:space="preserve">[23]</w:t>
        </w:r>
      </w:hyperlink>
      <w:r>
        <w:br/>
      </w:r>
      <w:r>
        <w:t xml:space="preserve">- Integrate with enterprise IdP using Ignition Identity Providers (OIDC/SAML) and restrict access via Security Zones where appropriate (Priority: Medium, Effort: Medium).</w:t>
      </w:r>
      <w:r>
        <w:t xml:space="preserve"> </w:t>
      </w:r>
      <w:hyperlink r:id="rId38">
        <w:r>
          <w:rPr>
            <w:rStyle w:val="Hyperlink"/>
          </w:rPr>
          <w:t xml:space="preserve">[24]</w:t>
        </w:r>
      </w:hyperlink>
      <w:r>
        <w:br/>
      </w:r>
      <w:r>
        <w:t xml:space="preserve">Verification &amp; metrics:</w:t>
      </w:r>
      <w:r>
        <w:t xml:space="preserve"> </w:t>
      </w:r>
      <w:r>
        <w:t xml:space="preserve">- Auditability: Ignition audit profiles enabled; retention set per record policy; audit sampling demonstrates “who did what, when” for privileged actions (Priority: High).</w:t>
      </w:r>
      <w:r>
        <w:t xml:space="preserve"> </w:t>
      </w:r>
      <w:hyperlink r:id="rId39">
        <w:r>
          <w:rPr>
            <w:rStyle w:val="Hyperlink"/>
          </w:rPr>
          <w:t xml:space="preserve">[25]</w:t>
        </w:r>
      </w:hyperlink>
      <w:r>
        <w:br/>
      </w:r>
      <w:r>
        <w:t xml:space="preserve">- Patch/upgrade evidence: upgrades go through controlled staging and regression tests; mean time to patch critical issues tracked.</w:t>
      </w:r>
      <w:r>
        <w:t xml:space="preserve"> </w:t>
      </w:r>
      <w:hyperlink r:id="rId21">
        <w:r>
          <w:rPr>
            <w:rStyle w:val="Hyperlink"/>
          </w:rPr>
          <w:t xml:space="preserve">[26]</w:t>
        </w:r>
      </w:hyperlink>
      <w:r>
        <w:br/>
      </w:r>
      <w:r>
        <w:t xml:space="preserve">Residual risk / trade-offs: The trade is increased CSV/validation overhead and slower upgrades versus stronger inspection posture and fewer security misconfigurations.</w:t>
      </w:r>
    </w:p>
    <w:p>
      <w:pPr>
        <w:pStyle w:val="BodyText"/>
      </w:pPr>
      <w:r>
        <w:rPr>
          <w:b/>
          <w:bCs/>
        </w:rPr>
        <w:t xml:space="preserve">Risk: E2E data flow for batch record completeness</w:t>
      </w:r>
      <w:r>
        <w:br/>
      </w:r>
      <w:r>
        <w:t xml:space="preserve">Validation: Even with resilient networking and IAM, end-to-end integration failures still happen at the application/semantic layer (wrong mapping, missing events, duplicated events, delayed events). Batch production records must include complete information, and FDA data integrity guidance emphasizes detection of omissions and preserving data/metadata relationships securely and traceably. Annex 11 also requires checks that data transfers do not alter value/meaning.</w:t>
      </w:r>
      <w:r>
        <w:t xml:space="preserve"> </w:t>
      </w:r>
      <w:hyperlink r:id="rId40">
        <w:r>
          <w:rPr>
            <w:rStyle w:val="Hyperlink"/>
          </w:rPr>
          <w:t xml:space="preserve">[27]</w:t>
        </w:r>
      </w:hyperlink>
      <w:r>
        <w:br/>
      </w:r>
      <w:r>
        <w:t xml:space="preserve">Mitigations:</w:t>
      </w:r>
      <w:r>
        <w:t xml:space="preserve"> </w:t>
      </w:r>
      <w:r>
        <w:t xml:space="preserve">- Define “system of record” rules per data type (batch-critical vs analytics) and avoid making the bus the</w:t>
      </w:r>
      <w:r>
        <w:t xml:space="preserve"> </w:t>
      </w:r>
      <w:r>
        <w:rPr>
          <w:i/>
          <w:iCs/>
        </w:rPr>
        <w:t xml:space="preserve">only</w:t>
      </w:r>
      <w:r>
        <w:t xml:space="preserve"> </w:t>
      </w:r>
      <w:r>
        <w:t xml:space="preserve">repository of record evidence unless explicitly validated as such (Priority: High, Effort: High).</w:t>
      </w:r>
      <w:r>
        <w:t xml:space="preserve"> </w:t>
      </w:r>
      <w:hyperlink r:id="rId40">
        <w:r>
          <w:rPr>
            <w:rStyle w:val="Hyperlink"/>
          </w:rPr>
          <w:t xml:space="preserve">[28]</w:t>
        </w:r>
      </w:hyperlink>
      <w:r>
        <w:br/>
      </w:r>
      <w:r>
        <w:t xml:space="preserve">- Implement automated reconciliation: expected critical events vs observed events per batch/phase; escalate exceptions to Quality review workflow (Priority: High, Effort: High).</w:t>
      </w:r>
      <w:r>
        <w:t xml:space="preserve"> </w:t>
      </w:r>
      <w:hyperlink r:id="rId22">
        <w:r>
          <w:rPr>
            <w:rStyle w:val="Hyperlink"/>
          </w:rPr>
          <w:t xml:space="preserve">[29]</w:t>
        </w:r>
      </w:hyperlink>
      <w:r>
        <w:br/>
      </w:r>
      <w:r>
        <w:t xml:space="preserve">- Add built-in semantic checks in the pipeline (units, ranges, schema conformance, equipment identity) and reject/quarantine invalid payloads rather than silently passing them (Priority: High, Effort: Medium).</w:t>
      </w:r>
      <w:r>
        <w:t xml:space="preserve"> </w:t>
      </w:r>
      <w:hyperlink r:id="rId22">
        <w:r>
          <w:rPr>
            <w:rStyle w:val="Hyperlink"/>
          </w:rPr>
          <w:t xml:space="preserve">[15]</w:t>
        </w:r>
      </w:hyperlink>
      <w:r>
        <w:br/>
      </w:r>
      <w:r>
        <w:t xml:space="preserve">Verification &amp; metrics:</w:t>
      </w:r>
      <w:r>
        <w:t xml:space="preserve"> </w:t>
      </w:r>
      <w:r>
        <w:t xml:space="preserve">- Metric: “missing critical event rate per batch”; “reconciliation exception rate”; “schema conformance rate”; “mean time to resolve exceptions.”</w:t>
      </w:r>
      <w:r>
        <w:t xml:space="preserve"> </w:t>
      </w:r>
      <w:hyperlink r:id="rId22">
        <w:r>
          <w:rPr>
            <w:rStyle w:val="Hyperlink"/>
          </w:rPr>
          <w:t xml:space="preserve">[30]</w:t>
        </w:r>
      </w:hyperlink>
      <w:r>
        <w:br/>
      </w:r>
      <w:r>
        <w:t xml:space="preserve">- Validation tests demonstrate data transfer does not alter value/meaning (golden dataset tests pre/post pipeline).</w:t>
      </w:r>
      <w:r>
        <w:t xml:space="preserve"> </w:t>
      </w:r>
      <w:hyperlink r:id="rId21">
        <w:r>
          <w:rPr>
            <w:rStyle w:val="Hyperlink"/>
          </w:rPr>
          <w:t xml:space="preserve">[4]</w:t>
        </w:r>
      </w:hyperlink>
      <w:r>
        <w:br/>
      </w:r>
      <w:r>
        <w:t xml:space="preserve">Residual risk / trade-offs: Reconciliation introduces operational workload and can reveal upstream instrumentation gaps. The trade is detecting completeness failures early instead of discovering them during batch review or inspection.</w:t>
      </w:r>
    </w:p>
    <w:p>
      <w:pPr>
        <w:pStyle w:val="BodyText"/>
      </w:pPr>
      <w:r>
        <w:rPr>
          <w:b/>
          <w:bCs/>
        </w:rPr>
        <w:t xml:space="preserve">Risk: IT/OT boundary understanding</w:t>
      </w:r>
      <w:r>
        <w:br/>
      </w:r>
      <w:r>
        <w:t xml:space="preserve">Validation: Under best-practice IAM, authentication can be strong yet responsibility can still be unclear (who owns topic taxonomy, who approves model changes, who reviews audit trails, who owns incident response). Annex 11 explicitly requires cooperation among Process Owner/System Owner/QP/IT and that personnel have defined responsibilities and access levels.</w:t>
      </w:r>
      <w:r>
        <w:t xml:space="preserve"> </w:t>
      </w:r>
      <w:hyperlink r:id="rId21">
        <w:r>
          <w:rPr>
            <w:rStyle w:val="Hyperlink"/>
          </w:rPr>
          <w:t xml:space="preserve">[10]</w:t>
        </w:r>
      </w:hyperlink>
      <w:r>
        <w:br/>
      </w:r>
      <w:r>
        <w:t xml:space="preserve">Mitigations:</w:t>
      </w:r>
      <w:r>
        <w:t xml:space="preserve"> </w:t>
      </w:r>
      <w:r>
        <w:t xml:space="preserve">- Stand up a plant-bus governance model (RACI + Quality participation) for topic standards, canonical model, and change approvals (Priority: High, Effort: Medium).</w:t>
      </w:r>
      <w:r>
        <w:t xml:space="preserve"> </w:t>
      </w:r>
      <w:hyperlink r:id="rId21">
        <w:r>
          <w:rPr>
            <w:rStyle w:val="Hyperlink"/>
          </w:rPr>
          <w:t xml:space="preserve">[31]</w:t>
        </w:r>
      </w:hyperlink>
      <w:r>
        <w:br/>
      </w:r>
      <w:r>
        <w:t xml:space="preserve">- Maintain an up-to-date system inventory and system description (data flows/interfaces/security measures) and keep it current via change control (Priority: High, Effort: Medium).</w:t>
      </w:r>
      <w:r>
        <w:t xml:space="preserve"> </w:t>
      </w:r>
      <w:hyperlink r:id="rId21">
        <w:r>
          <w:rPr>
            <w:rStyle w:val="Hyperlink"/>
          </w:rPr>
          <w:t xml:space="preserve">[4]</w:t>
        </w:r>
      </w:hyperlink>
      <w:r>
        <w:br/>
      </w:r>
      <w:r>
        <w:t xml:space="preserve">Verification &amp; metrics:</w:t>
      </w:r>
      <w:r>
        <w:t xml:space="preserve"> </w:t>
      </w:r>
      <w:r>
        <w:t xml:space="preserve">- % changes with complete impact assessment; audit findings related to ownership/change control; number of emergency changes per quarter.</w:t>
      </w:r>
      <w:r>
        <w:t xml:space="preserve"> </w:t>
      </w:r>
      <w:hyperlink r:id="rId21">
        <w:r>
          <w:rPr>
            <w:rStyle w:val="Hyperlink"/>
          </w:rPr>
          <w:t xml:space="preserve">[4]</w:t>
        </w:r>
      </w:hyperlink>
      <w:r>
        <w:br/>
      </w:r>
      <w:r>
        <w:t xml:space="preserve">Residual risk / trade-offs: Strong governance slows ad hoc integrations. The trade is fewer uncontrolled changes and a more defensible validated state.</w:t>
      </w:r>
    </w:p>
    <w:p>
      <w:pPr>
        <w:pStyle w:val="BodyText"/>
      </w:pPr>
      <w:r>
        <w:rPr>
          <w:b/>
          <w:bCs/>
        </w:rPr>
        <w:t xml:space="preserve">Risk: Multi-DCS integration complexity</w:t>
      </w:r>
      <w:r>
        <w:br/>
      </w:r>
      <w:r>
        <w:t xml:space="preserve">Validation: This remains legitimate because the major failure modes are semantic (incorrect mappings, inconsistent timebases, unit conversion errors) and operational (source changes breaking pipelines). Annex 11 requires evidence of appropriate test methods and scenarios, including parameter limits and error handling, and requires validation checks that data transfers do not change value/meaning.</w:t>
      </w:r>
      <w:r>
        <w:t xml:space="preserve"> </w:t>
      </w:r>
      <w:hyperlink r:id="rId21">
        <w:r>
          <w:rPr>
            <w:rStyle w:val="Hyperlink"/>
          </w:rPr>
          <w:t xml:space="preserve">[4]</w:t>
        </w:r>
      </w:hyperlink>
      <w:r>
        <w:br/>
      </w:r>
      <w:r>
        <w:t xml:space="preserve">Mitigations:</w:t>
      </w:r>
      <w:r>
        <w:t xml:space="preserve"> </w:t>
      </w:r>
      <w:r>
        <w:t xml:space="preserve">- Enforce a canonical model and controlled namespace with explicit unit and scaling rules; do not expose raw tag sprawl to enterprise consumers (Priority: High, Effort: High).</w:t>
      </w:r>
      <w:r>
        <w:t xml:space="preserve"> </w:t>
      </w:r>
      <w:hyperlink r:id="rId21">
        <w:r>
          <w:rPr>
            <w:rStyle w:val="Hyperlink"/>
          </w:rPr>
          <w:t xml:space="preserve">[32]</w:t>
        </w:r>
      </w:hyperlink>
      <w:r>
        <w:br/>
      </w:r>
      <w:r>
        <w:t xml:space="preserve">- Implement contract tests per DCS source and model version; include negative testing for bounds and malformed payloads (Priority: High, Effort: High).</w:t>
      </w:r>
      <w:r>
        <w:t xml:space="preserve"> </w:t>
      </w:r>
      <w:hyperlink r:id="rId21">
        <w:r>
          <w:rPr>
            <w:rStyle w:val="Hyperlink"/>
          </w:rPr>
          <w:t xml:space="preserve">[4]</w:t>
        </w:r>
      </w:hyperlink>
      <w:r>
        <w:br/>
      </w:r>
      <w:r>
        <w:t xml:space="preserve">- Version schemas and topic namespaces; require change impact assessment and consumer compatibility review (Priority: Medium, Effort: Medium).</w:t>
      </w:r>
      <w:r>
        <w:t xml:space="preserve"> </w:t>
      </w:r>
      <w:hyperlink r:id="rId21">
        <w:r>
          <w:rPr>
            <w:rStyle w:val="Hyperlink"/>
          </w:rPr>
          <w:t xml:space="preserve">[4]</w:t>
        </w:r>
      </w:hyperlink>
      <w:r>
        <w:br/>
      </w:r>
      <w:r>
        <w:t xml:space="preserve">Verification &amp; metrics:</w:t>
      </w:r>
      <w:r>
        <w:t xml:space="preserve"> </w:t>
      </w:r>
      <w:r>
        <w:t xml:space="preserve">- Metrics: mapping test pass rate; schema drift alerts; number of quarantined payloads; defect escape rate by DCS.</w:t>
      </w:r>
      <w:r>
        <w:t xml:space="preserve"> </w:t>
      </w:r>
      <w:hyperlink r:id="rId21">
        <w:r>
          <w:rPr>
            <w:rStyle w:val="Hyperlink"/>
          </w:rPr>
          <w:t xml:space="preserve">[32]</w:t>
        </w:r>
      </w:hyperlink>
      <w:r>
        <w:br/>
      </w:r>
      <w:r>
        <w:t xml:space="preserve">Residual risk / trade-offs: Canonical modeling adds upfront time and requires data stewardship. The trade is fewer costly downstream misunderstandings and less batch record ambiguity.</w:t>
      </w:r>
    </w:p>
    <w:p>
      <w:pPr>
        <w:pStyle w:val="BodyText"/>
      </w:pPr>
      <w:r>
        <w:rPr>
          <w:b/>
          <w:bCs/>
        </w:rPr>
        <w:t xml:space="preserve">Risk: Data integrity/ALCOA requirements</w:t>
      </w:r>
      <w:r>
        <w:br/>
      </w:r>
      <w:r>
        <w:t xml:space="preserve">Validation: Strong IAM does not automatically guarantee ALCOA. Data integrity includes completeness/consistency/accuracy across creation, modification, transmission, and disposition; FDA explicitly calls out ALCOA and requires system design/controls that enable detection of errors/omissions throughout the data lifecycle. Audit trails must allow reconstruction of events for record changes.</w:t>
      </w:r>
      <w:r>
        <w:t xml:space="preserve"> </w:t>
      </w:r>
      <w:hyperlink r:id="rId22">
        <w:r>
          <w:rPr>
            <w:rStyle w:val="Hyperlink"/>
          </w:rPr>
          <w:t xml:space="preserve">[30]</w:t>
        </w:r>
      </w:hyperlink>
      <w:r>
        <w:br/>
      </w:r>
      <w:r>
        <w:t xml:space="preserve">Mitigations:</w:t>
      </w:r>
      <w:r>
        <w:t xml:space="preserve"> </w:t>
      </w:r>
      <w:r>
        <w:t xml:space="preserve">- Establish an end-to-end audit trail strategy: configuration changes in Ignition/HighByte/HiveMQ, along with pipeline/model/topic changes, are captured and retained; review is risk-based and aligned to record review practices (Priority: High, Effort: High).</w:t>
      </w:r>
      <w:r>
        <w:t xml:space="preserve"> </w:t>
      </w:r>
      <w:hyperlink r:id="rId39">
        <w:r>
          <w:rPr>
            <w:rStyle w:val="Hyperlink"/>
          </w:rPr>
          <w:t xml:space="preserve">[33]</w:t>
        </w:r>
      </w:hyperlink>
      <w:r>
        <w:br/>
      </w:r>
      <w:r>
        <w:t xml:space="preserve">- Preserve metadata relationships (equipment, batch/phase, timestamp provenance) and ensure transformations remain traceable (Priority: High, Effort: High).</w:t>
      </w:r>
      <w:r>
        <w:t xml:space="preserve"> </w:t>
      </w:r>
      <w:hyperlink r:id="rId22">
        <w:r>
          <w:rPr>
            <w:rStyle w:val="Hyperlink"/>
          </w:rPr>
          <w:t xml:space="preserve">[34]</w:t>
        </w:r>
      </w:hyperlink>
      <w:r>
        <w:br/>
      </w:r>
      <w:r>
        <w:t xml:space="preserve">- Enforce “no silent edits”: if modeled values are recalculated or corrected, maintain original/raw lineage or capture the reason and versioned transformation logic (Priority: High, Effort: Medium).</w:t>
      </w:r>
      <w:r>
        <w:t xml:space="preserve"> </w:t>
      </w:r>
      <w:hyperlink r:id="rId22">
        <w:r>
          <w:rPr>
            <w:rStyle w:val="Hyperlink"/>
          </w:rPr>
          <w:t xml:space="preserve">[35]</w:t>
        </w:r>
      </w:hyperlink>
      <w:r>
        <w:br/>
      </w:r>
      <w:r>
        <w:t xml:space="preserve">Verification &amp; metrics:</w:t>
      </w:r>
      <w:r>
        <w:t xml:space="preserve"> </w:t>
      </w:r>
      <w:r>
        <w:t xml:space="preserve">- Audit trail sampling: reconstruct a configuration change → deployed behavior → resulting data change with who/what/when; audit review completion rate and findings trend.</w:t>
      </w:r>
      <w:r>
        <w:t xml:space="preserve"> </w:t>
      </w:r>
      <w:hyperlink r:id="rId22">
        <w:r>
          <w:rPr>
            <w:rStyle w:val="Hyperlink"/>
          </w:rPr>
          <w:t xml:space="preserve">[36]</w:t>
        </w:r>
      </w:hyperlink>
      <w:r>
        <w:br/>
      </w:r>
      <w:r>
        <w:t xml:space="preserve">- Metrics: time synchronization drift alarms; % data objects with complete provenance fields; number of “unattributable” events.</w:t>
      </w:r>
      <w:r>
        <w:t xml:space="preserve"> </w:t>
      </w:r>
      <w:hyperlink r:id="rId22">
        <w:r>
          <w:rPr>
            <w:rStyle w:val="Hyperlink"/>
          </w:rPr>
          <w:t xml:space="preserve">[30]</w:t>
        </w:r>
      </w:hyperlink>
      <w:r>
        <w:br/>
      </w:r>
      <w:r>
        <w:t xml:space="preserve">Residual risk / trade-offs: Strong auditability can increase storage and monitoring costs and may require careful log data minimization to avoid leaking sensitive operational context.</w:t>
      </w:r>
    </w:p>
    <w:p>
      <w:pPr>
        <w:pStyle w:val="BodyText"/>
      </w:pPr>
      <w:r>
        <w:rPr>
          <w:b/>
          <w:bCs/>
        </w:rPr>
        <w:t xml:space="preserve">Risk: Batch record completeness dependency</w:t>
      </w:r>
      <w:r>
        <w:br/>
      </w:r>
      <w:r>
        <w:t xml:space="preserve">Validation: This is legitimate because if critical batch evidence relies on the bus, outages or semantic errors become compliance-relevant. Batch production records must include complete information, and FDA notes production/control records (including audit trails) must be reviewed/approved by the quality unit; audit trail review should align with the record review frequency when specified.</w:t>
      </w:r>
      <w:r>
        <w:t xml:space="preserve"> </w:t>
      </w:r>
      <w:hyperlink r:id="rId40">
        <w:r>
          <w:rPr>
            <w:rStyle w:val="Hyperlink"/>
          </w:rPr>
          <w:t xml:space="preserve">[37]</w:t>
        </w:r>
      </w:hyperlink>
      <w:r>
        <w:br/>
      </w:r>
      <w:r>
        <w:t xml:space="preserve">Mitigations:</w:t>
      </w:r>
      <w:r>
        <w:t xml:space="preserve"> </w:t>
      </w:r>
      <w:r>
        <w:t xml:space="preserve">- Make batch-critical evidence capture resilient and explicitly validated; avoid single points of failure by using redundancy and buffering where appropriate (Priority: High, Effort: High).</w:t>
      </w:r>
      <w:r>
        <w:t xml:space="preserve"> </w:t>
      </w:r>
      <w:hyperlink r:id="rId32">
        <w:r>
          <w:rPr>
            <w:rStyle w:val="Hyperlink"/>
          </w:rPr>
          <w:t xml:space="preserve">[20]</w:t>
        </w:r>
      </w:hyperlink>
      <w:r>
        <w:br/>
      </w:r>
      <w:r>
        <w:t xml:space="preserve">- Define and train manual fallback procedures that preserve contemporaneous record expectations, including deviation triggers when automated flows fail (Priority: High, Effort: Medium).</w:t>
      </w:r>
      <w:r>
        <w:t xml:space="preserve"> </w:t>
      </w:r>
      <w:hyperlink r:id="rId22">
        <w:r>
          <w:rPr>
            <w:rStyle w:val="Hyperlink"/>
          </w:rPr>
          <w:t xml:space="preserve">[30]</w:t>
        </w:r>
      </w:hyperlink>
      <w:r>
        <w:br/>
      </w:r>
      <w:r>
        <w:t xml:space="preserve">Verification &amp; metrics:</w:t>
      </w:r>
      <w:r>
        <w:t xml:space="preserve"> </w:t>
      </w:r>
      <w:r>
        <w:t xml:space="preserve">- “Brownout batch” drills: run a simulated batch with plant bus degraded; confirm batch review can still reconstruct events and close exceptions.</w:t>
      </w:r>
      <w:r>
        <w:t xml:space="preserve"> </w:t>
      </w:r>
      <w:hyperlink r:id="rId22">
        <w:r>
          <w:rPr>
            <w:rStyle w:val="Hyperlink"/>
          </w:rPr>
          <w:t xml:space="preserve">[29]</w:t>
        </w:r>
      </w:hyperlink>
      <w:r>
        <w:br/>
      </w:r>
      <w:r>
        <w:t xml:space="preserve">- Metrics: batch review exception rate due to missing/late data; fallback invocation frequency; closure time.</w:t>
      </w:r>
      <w:r>
        <w:t xml:space="preserve"> </w:t>
      </w:r>
      <w:hyperlink r:id="rId22">
        <w:r>
          <w:rPr>
            <w:rStyle w:val="Hyperlink"/>
          </w:rPr>
          <w:t xml:space="preserve">[38]</w:t>
        </w:r>
      </w:hyperlink>
      <w:r>
        <w:br/>
      </w:r>
      <w:r>
        <w:t xml:space="preserve">Residual risk / trade-offs: Parallel capture/fallback paths reduce risk but increase process complexity and reconciliation workload.</w:t>
      </w:r>
    </w:p>
    <w:p>
      <w:pPr>
        <w:pStyle w:val="BodyText"/>
      </w:pPr>
      <w:r>
        <w:rPr>
          <w:b/>
          <w:bCs/>
        </w:rPr>
        <w:t xml:space="preserve">Risk: CSA validation of new platform</w:t>
      </w:r>
      <w:r>
        <w:br/>
      </w:r>
      <w:r>
        <w:t xml:space="preserve">Validation: Even with best-practice security, validation/assurance remains mandatory when the system supports GMP activities. Annex 11 requires validation documentation covering lifecycle steps, change control records, and justification of standards/acceptance criteria based on risk assessment; it also expects periodic evaluation to confirm systems remain in a valid and compliant state. Separately, FDA’s current CSA guidance emphasizes a risk-based approach to establish confidence that software is fit for intended use (even though its scope is production/QMS software for medical devices, the methodology aligns with risk-based assurance principles).</w:t>
      </w:r>
      <w:r>
        <w:t xml:space="preserve"> </w:t>
      </w:r>
      <w:hyperlink r:id="rId21">
        <w:r>
          <w:rPr>
            <w:rStyle w:val="Hyperlink"/>
          </w:rPr>
          <w:t xml:space="preserve">[39]</w:t>
        </w:r>
      </w:hyperlink>
      <w:r>
        <w:br/>
      </w:r>
      <w:r>
        <w:t xml:space="preserve">Mitigations:</w:t>
      </w:r>
      <w:r>
        <w:t xml:space="preserve"> </w:t>
      </w:r>
      <w:r>
        <w:t xml:space="preserve">- Build a risk-based assurance plan (URS → risk → assurance activities) with explicit evidence expectations per feature/dataflow criticality (Priority: High, Effort: High).</w:t>
      </w:r>
      <w:r>
        <w:t xml:space="preserve"> </w:t>
      </w:r>
      <w:hyperlink r:id="rId21">
        <w:r>
          <w:rPr>
            <w:rStyle w:val="Hyperlink"/>
          </w:rPr>
          <w:t xml:space="preserve">[40]</w:t>
        </w:r>
      </w:hyperlink>
      <w:r>
        <w:br/>
      </w:r>
      <w:r>
        <w:t xml:space="preserve">- Implement controlled configuration management and change control records for all middleware configs (models, pipelines, broker authz rules) (Priority: High, Effort: High).</w:t>
      </w:r>
      <w:r>
        <w:t xml:space="preserve"> </w:t>
      </w:r>
      <w:hyperlink r:id="rId21">
        <w:r>
          <w:rPr>
            <w:rStyle w:val="Hyperlink"/>
          </w:rPr>
          <w:t xml:space="preserve">[11]</w:t>
        </w:r>
      </w:hyperlink>
      <w:r>
        <w:br/>
      </w:r>
      <w:r>
        <w:t xml:space="preserve">- Establish periodic review/recertification of validation state (performance, reliability, security, incident history, upgrade history) (Priority: Medium, Effort: Medium).</w:t>
      </w:r>
      <w:r>
        <w:t xml:space="preserve"> </w:t>
      </w:r>
      <w:hyperlink r:id="rId21">
        <w:r>
          <w:rPr>
            <w:rStyle w:val="Hyperlink"/>
          </w:rPr>
          <w:t xml:space="preserve">[41]</w:t>
        </w:r>
      </w:hyperlink>
      <w:r>
        <w:br/>
      </w:r>
      <w:r>
        <w:t xml:space="preserve">Verification &amp; metrics:</w:t>
      </w:r>
      <w:r>
        <w:t xml:space="preserve"> </w:t>
      </w:r>
      <w:r>
        <w:t xml:space="preserve">- Validation completeness: % critical requirements covered with passing tests; % changes with impact assessment; periodic review action closure time.</w:t>
      </w:r>
      <w:r>
        <w:t xml:space="preserve"> </w:t>
      </w:r>
      <w:hyperlink r:id="rId21">
        <w:r>
          <w:rPr>
            <w:rStyle w:val="Hyperlink"/>
          </w:rPr>
          <w:t xml:space="preserve">[40]</w:t>
        </w:r>
      </w:hyperlink>
      <w:r>
        <w:br/>
      </w:r>
      <w:r>
        <w:t xml:space="preserve">Residual risk / trade-offs: Risk-based assurance reduces wasted effort versus “test everything equally,” but requires disciplined risk classification and strong QA engagement.</w:t>
      </w:r>
    </w:p>
    <w:p>
      <w:pPr>
        <w:pStyle w:val="BodyText"/>
      </w:pPr>
      <w:r>
        <w:rPr>
          <w:b/>
          <w:bCs/>
        </w:rPr>
        <w:t xml:space="preserve">Risk: Crosses DMZ between OT and IT</w:t>
      </w:r>
      <w:r>
        <w:br/>
      </w:r>
      <w:r>
        <w:t xml:space="preserve">Validation: DMZ best practice reduces risk but also concentrates it: DMZ services become high-value targets. NIST explicitly states DMZ services must be monitored and protected to avoid compromises that allow attackers to pivot into OT.</w:t>
      </w:r>
      <w:r>
        <w:t xml:space="preserve"> </w:t>
      </w:r>
      <w:hyperlink r:id="rId26">
        <w:r>
          <w:rPr>
            <w:rStyle w:val="Hyperlink"/>
          </w:rPr>
          <w:t xml:space="preserve">[5]</w:t>
        </w:r>
      </w:hyperlink>
      <w:r>
        <w:br/>
      </w:r>
      <w:r>
        <w:t xml:space="preserve">Mitigations:</w:t>
      </w:r>
      <w:r>
        <w:t xml:space="preserve"> </w:t>
      </w:r>
      <w:r>
        <w:t xml:space="preserve">- Harden DMZ-hosted services to least functionality and minimal exposed ports; disable any unused services/ports on DMZ hosts (Priority: High, Effort: Medium).</w:t>
      </w:r>
      <w:r>
        <w:t xml:space="preserve"> </w:t>
      </w:r>
      <w:hyperlink r:id="rId26">
        <w:r>
          <w:rPr>
            <w:rStyle w:val="Hyperlink"/>
          </w:rPr>
          <w:t xml:space="preserve">[42]</w:t>
        </w:r>
      </w:hyperlink>
      <w:r>
        <w:br/>
      </w:r>
      <w:r>
        <w:t xml:space="preserve">- Ensure broker access is strictly authenticated and authorized; remove permissive defaults (Priority: High, Effort: Medium). HiveMQ documents that an “allow-all” extension authorizes all clients and must be removed for production.</w:t>
      </w:r>
      <w:r>
        <w:t xml:space="preserve"> </w:t>
      </w:r>
      <w:hyperlink r:id="rId27">
        <w:r>
          <w:rPr>
            <w:rStyle w:val="Hyperlink"/>
          </w:rPr>
          <w:t xml:space="preserve">[6]</w:t>
        </w:r>
      </w:hyperlink>
      <w:r>
        <w:br/>
      </w:r>
      <w:r>
        <w:t xml:space="preserve">- Centralize monitoring/logging for DMZ services and treat anomalies as OT security incidents (Priority: High, Effort: Medium).</w:t>
      </w:r>
      <w:r>
        <w:t xml:space="preserve"> </w:t>
      </w:r>
      <w:hyperlink r:id="rId36">
        <w:r>
          <w:rPr>
            <w:rStyle w:val="Hyperlink"/>
          </w:rPr>
          <w:t xml:space="preserve">[43]</w:t>
        </w:r>
      </w:hyperlink>
      <w:r>
        <w:br/>
      </w:r>
      <w:r>
        <w:t xml:space="preserve">Verification &amp; metrics:</w:t>
      </w:r>
      <w:r>
        <w:t xml:space="preserve"> </w:t>
      </w:r>
      <w:r>
        <w:t xml:space="preserve">- Metrics: DMZ vulnerability scan findings (critical/high) closure time; log ingestion completeness; detection time for unusual connection patterns.</w:t>
      </w:r>
      <w:r>
        <w:t xml:space="preserve"> </w:t>
      </w:r>
      <w:hyperlink r:id="rId36">
        <w:r>
          <w:rPr>
            <w:rStyle w:val="Hyperlink"/>
          </w:rPr>
          <w:t xml:space="preserve">[43]</w:t>
        </w:r>
      </w:hyperlink>
      <w:r>
        <w:br/>
      </w:r>
      <w:r>
        <w:t xml:space="preserve">Residual risk / trade-offs: DMZ hardening can reduce administrative convenience (fewer remote tools, fewer “quick fixes”), but that’s the correct trade in regulated OT environments.</w:t>
      </w:r>
    </w:p>
    <w:p>
      <w:pPr>
        <w:pStyle w:val="BodyText"/>
      </w:pPr>
      <w:r>
        <w:rPr>
          <w:b/>
          <w:bCs/>
        </w:rPr>
        <w:t xml:space="preserve">Risk: New attack surface from IT/OT convergence</w:t>
      </w:r>
      <w:r>
        <w:br/>
      </w:r>
      <w:r>
        <w:t xml:space="preserve">Validation: Even with strong IAM, the plant bus adds new endpoints (brokers, APIs, admin UIs) and new authorization surfaces (topics, models, pipelines). Misconfiguration can cause data exfiltration or data poisoning. HiveMQ explicitly requires adding an appropriate security extension and removing permissive test extensions before production.</w:t>
      </w:r>
      <w:r>
        <w:t xml:space="preserve"> </w:t>
      </w:r>
      <w:hyperlink r:id="rId27">
        <w:r>
          <w:rPr>
            <w:rStyle w:val="Hyperlink"/>
          </w:rPr>
          <w:t xml:space="preserve">[44]</w:t>
        </w:r>
      </w:hyperlink>
      <w:r>
        <w:br/>
      </w:r>
      <w:r>
        <w:t xml:space="preserve">Mitigations:</w:t>
      </w:r>
      <w:r>
        <w:t xml:space="preserve"> </w:t>
      </w:r>
      <w:r>
        <w:t xml:space="preserve">- Enforce strict topic-level authorization (publish/subscribe permissions) using HiveMQ security extensions (Priority: High, Effort: Medium).</w:t>
      </w:r>
      <w:r>
        <w:t xml:space="preserve"> </w:t>
      </w:r>
      <w:hyperlink r:id="rId30">
        <w:r>
          <w:rPr>
            <w:rStyle w:val="Hyperlink"/>
          </w:rPr>
          <w:t xml:space="preserve">[13]</w:t>
        </w:r>
      </w:hyperlink>
      <w:r>
        <w:br/>
      </w:r>
      <w:r>
        <w:t xml:space="preserve">- Enforce TLS-only listeners and prefer TLS 1.2/1.3 (Priority: High, Effort: Low).</w:t>
      </w:r>
      <w:r>
        <w:t xml:space="preserve"> </w:t>
      </w:r>
      <w:hyperlink r:id="rId27">
        <w:r>
          <w:rPr>
            <w:rStyle w:val="Hyperlink"/>
          </w:rPr>
          <w:t xml:space="preserve">[45]</w:t>
        </w:r>
      </w:hyperlink>
      <w:r>
        <w:br/>
      </w:r>
      <w:r>
        <w:t xml:space="preserve">- Apply rate limits and overload protection to prevent self-inflicted DoS from misbehaving clients (Priority: Medium, Effort: Medium).</w:t>
      </w:r>
      <w:r>
        <w:t xml:space="preserve"> </w:t>
      </w:r>
      <w:hyperlink r:id="rId35">
        <w:r>
          <w:rPr>
            <w:rStyle w:val="Hyperlink"/>
          </w:rPr>
          <w:t xml:space="preserve">[19]</w:t>
        </w:r>
      </w:hyperlink>
      <w:r>
        <w:br/>
      </w:r>
      <w:r>
        <w:t xml:space="preserve">Verification &amp; metrics:</w:t>
      </w:r>
      <w:r>
        <w:t xml:space="preserve"> </w:t>
      </w:r>
      <w:r>
        <w:t xml:space="preserve">- Security testing: unauthorized clients cannot connect; authorized clients cannot subscribe outside allowed namespaces; attempts are logged and alerted.</w:t>
      </w:r>
      <w:r>
        <w:t xml:space="preserve"> </w:t>
      </w:r>
      <w:hyperlink r:id="rId30">
        <w:r>
          <w:rPr>
            <w:rStyle w:val="Hyperlink"/>
          </w:rPr>
          <w:t xml:space="preserve">[46]</w:t>
        </w:r>
      </w:hyperlink>
      <w:r>
        <w:br/>
      </w:r>
      <w:r>
        <w:t xml:space="preserve">- Metrics: auth failures, ACL denies, unusual topic scans, connect rate throttling activations.</w:t>
      </w:r>
      <w:r>
        <w:t xml:space="preserve"> </w:t>
      </w:r>
      <w:hyperlink r:id="rId41">
        <w:r>
          <w:rPr>
            <w:rStyle w:val="Hyperlink"/>
          </w:rPr>
          <w:t xml:space="preserve">[47]</w:t>
        </w:r>
      </w:hyperlink>
      <w:r>
        <w:br/>
      </w:r>
      <w:r>
        <w:t xml:space="preserve">Residual risk / trade-offs: Strict authorization is operationally heavier (more onboarding work), but it materially limits blast radius when a client certificate or service account is compromised.</w:t>
      </w:r>
    </w:p>
    <w:p>
      <w:pPr>
        <w:pStyle w:val="BodyText"/>
      </w:pPr>
      <w:r>
        <w:rPr>
          <w:b/>
          <w:bCs/>
        </w:rPr>
        <w:t xml:space="preserve">Risk: Skills gap (limited Ignition/HighByte expertise at pharma scale)</w:t>
      </w:r>
      <w:r>
        <w:br/>
      </w:r>
      <w:r>
        <w:t xml:space="preserve">Validation: This remains legitimate because regulatory frameworks require competent personnel and defined responsibilities; Part 11 requires that people who develop/maintain/use electronic record systems have appropriate education/training/experience, and Annex 11 requires appropriate qualifications and defined responsibilities/access levels.</w:t>
      </w:r>
      <w:r>
        <w:t xml:space="preserve"> </w:t>
      </w:r>
      <w:hyperlink r:id="rId23">
        <w:r>
          <w:rPr>
            <w:rStyle w:val="Hyperlink"/>
          </w:rPr>
          <w:t xml:space="preserve">[48]</w:t>
        </w:r>
      </w:hyperlink>
      <w:r>
        <w:br/>
      </w:r>
      <w:r>
        <w:t xml:space="preserve">Mitigations:</w:t>
      </w:r>
      <w:r>
        <w:t xml:space="preserve"> </w:t>
      </w:r>
      <w:r>
        <w:t xml:space="preserve">- Create role-based training paths with competency verification (not just attendance) for OT engineers, platform admins, QA/CSV, and SOC analysts (Priority: High, Effort: Medium).</w:t>
      </w:r>
      <w:r>
        <w:t xml:space="preserve"> </w:t>
      </w:r>
      <w:hyperlink r:id="rId23">
        <w:r>
          <w:rPr>
            <w:rStyle w:val="Hyperlink"/>
          </w:rPr>
          <w:t xml:space="preserve">[48]</w:t>
        </w:r>
      </w:hyperlink>
      <w:r>
        <w:br/>
      </w:r>
      <w:r>
        <w:t xml:space="preserve">- Standardize configuration through controlled deployment patterns (e.g., HighByte Git integration) to reduce manual drift (Priority: Medium, Effort: Medium).</w:t>
      </w:r>
      <w:r>
        <w:t xml:space="preserve"> </w:t>
      </w:r>
      <w:hyperlink r:id="rId42">
        <w:r>
          <w:rPr>
            <w:rStyle w:val="Hyperlink"/>
          </w:rPr>
          <w:t xml:space="preserve">[49]</w:t>
        </w:r>
      </w:hyperlink>
      <w:r>
        <w:br/>
      </w:r>
      <w:r>
        <w:t xml:space="preserve">- Run incident response drills specific to the plant bus (expired cert, broker overload, store-and-forward backlog, unauthorized publish attempts) (Priority: High, Effort: Low).</w:t>
      </w:r>
      <w:r>
        <w:t xml:space="preserve"> </w:t>
      </w:r>
      <w:hyperlink r:id="rId36">
        <w:r>
          <w:rPr>
            <w:rStyle w:val="Hyperlink"/>
          </w:rPr>
          <w:t xml:space="preserve">[50]</w:t>
        </w:r>
      </w:hyperlink>
      <w:r>
        <w:br/>
      </w:r>
      <w:r>
        <w:t xml:space="preserve">Verification &amp; metrics:</w:t>
      </w:r>
      <w:r>
        <w:t xml:space="preserve"> </w:t>
      </w:r>
      <w:r>
        <w:t xml:space="preserve">- Metrics: competency test pass rate; change failure rate; MTTR for common incidents; number of config errors found in pre-prod validation.</w:t>
      </w:r>
      <w:r>
        <w:t xml:space="preserve"> </w:t>
      </w:r>
      <w:hyperlink r:id="rId21">
        <w:r>
          <w:rPr>
            <w:rStyle w:val="Hyperlink"/>
          </w:rPr>
          <w:t xml:space="preserve">[41]</w:t>
        </w:r>
      </w:hyperlink>
      <w:r>
        <w:br/>
      </w:r>
      <w:r>
        <w:t xml:space="preserve">Residual risk / trade-offs: Training and drills consume time and budget, but reduce production incidents and audit findings driven by human error.</w:t>
      </w:r>
    </w:p>
    <w:p>
      <w:pPr>
        <w:pStyle w:val="BodyText"/>
      </w:pPr>
      <w:r>
        <w:rPr>
          <w:b/>
          <w:bCs/>
        </w:rPr>
        <w:t xml:space="preserve">Risk: Resourcing unknowns</w:t>
      </w:r>
      <w:r>
        <w:br/>
      </w:r>
      <w:r>
        <w:t xml:space="preserve">Validation: This is legitimate because a plant bus is not a one-time project—it’s an operational platform requiring monitoring, patching, validation maintenance, backup/restore testing, and periodic evaluation. Annex 11 explicitly expects periodic evaluation to confirm systems remain in a valid state, including performance, reliability, security, and validation status.</w:t>
      </w:r>
      <w:r>
        <w:t xml:space="preserve"> </w:t>
      </w:r>
      <w:hyperlink r:id="rId21">
        <w:r>
          <w:rPr>
            <w:rStyle w:val="Hyperlink"/>
          </w:rPr>
          <w:t xml:space="preserve">[41]</w:t>
        </w:r>
      </w:hyperlink>
      <w:r>
        <w:br/>
      </w:r>
      <w:r>
        <w:t xml:space="preserve">Mitigations:</w:t>
      </w:r>
      <w:r>
        <w:t xml:space="preserve"> </w:t>
      </w:r>
      <w:r>
        <w:t xml:space="preserve">- Define an operating model: platform owner, QA owner, security owner, on-call, and escalation paths (Priority: Medium, Effort: Medium).</w:t>
      </w:r>
      <w:r>
        <w:t xml:space="preserve"> </w:t>
      </w:r>
      <w:hyperlink r:id="rId21">
        <w:r>
          <w:rPr>
            <w:rStyle w:val="Hyperlink"/>
          </w:rPr>
          <w:t xml:space="preserve">[31]</w:t>
        </w:r>
      </w:hyperlink>
      <w:r>
        <w:br/>
      </w:r>
      <w:r>
        <w:t xml:space="preserve">- Define SLOs (availability, latency, data loss) and capacity planning processes (Priority: Medium, Effort: Medium).</w:t>
      </w:r>
      <w:r>
        <w:t xml:space="preserve"> </w:t>
      </w:r>
      <w:hyperlink r:id="rId36">
        <w:r>
          <w:rPr>
            <w:rStyle w:val="Hyperlink"/>
          </w:rPr>
          <w:t xml:space="preserve">[51]</w:t>
        </w:r>
      </w:hyperlink>
      <w:r>
        <w:br/>
      </w:r>
      <w:r>
        <w:t xml:space="preserve">Verification &amp; metrics:</w:t>
      </w:r>
      <w:r>
        <w:t xml:space="preserve"> </w:t>
      </w:r>
      <w:r>
        <w:t xml:space="preserve">- Metrics: on-call coverage; MTTA/MTTR; percent time within SLOs; backlog size for operational debt.</w:t>
      </w:r>
      <w:r>
        <w:t xml:space="preserve"> </w:t>
      </w:r>
      <w:hyperlink r:id="rId36">
        <w:r>
          <w:rPr>
            <w:rStyle w:val="Hyperlink"/>
          </w:rPr>
          <w:t xml:space="preserve">[52]</w:t>
        </w:r>
      </w:hyperlink>
      <w:r>
        <w:br/>
      </w:r>
      <w:r>
        <w:t xml:space="preserve">Residual risk / trade-offs: A strong operating model adds headcount cost, but the trade is preventing a slow drift into an unreliable, non-compliant integration layer.</w:t>
      </w:r>
    </w:p>
    <w:p>
      <w:pPr>
        <w:pStyle w:val="BodyText"/>
      </w:pPr>
      <w:r>
        <w:rPr>
          <w:b/>
          <w:bCs/>
        </w:rPr>
        <w:t xml:space="preserve">Risk: Training requirements</w:t>
      </w:r>
      <w:r>
        <w:br/>
      </w:r>
      <w:r>
        <w:t xml:space="preserve">Validation: Training is explicitly part of compliance expectations: Part 11 requires appropriate training/experience for personnel working with electronic record systems, and Annex 11 requires personnel qualifications and defined responsibilities/access.</w:t>
      </w:r>
      <w:r>
        <w:t xml:space="preserve"> </w:t>
      </w:r>
      <w:hyperlink r:id="rId23">
        <w:r>
          <w:rPr>
            <w:rStyle w:val="Hyperlink"/>
          </w:rPr>
          <w:t xml:space="preserve">[48]</w:t>
        </w:r>
      </w:hyperlink>
      <w:r>
        <w:br/>
      </w:r>
      <w:r>
        <w:t xml:space="preserve">Mitigations:</w:t>
      </w:r>
      <w:r>
        <w:t xml:space="preserve"> </w:t>
      </w:r>
      <w:r>
        <w:t xml:space="preserve">- Create GxP-focused training modules tied to actual controls (audit trail review, change control, incident response, emergency access) (Priority: Medium, Effort: Medium).</w:t>
      </w:r>
      <w:r>
        <w:t xml:space="preserve"> </w:t>
      </w:r>
      <w:hyperlink r:id="rId22">
        <w:r>
          <w:rPr>
            <w:rStyle w:val="Hyperlink"/>
          </w:rPr>
          <w:t xml:space="preserve">[53]</w:t>
        </w:r>
      </w:hyperlink>
      <w:r>
        <w:br/>
      </w:r>
      <w:r>
        <w:t xml:space="preserve">Verification &amp; metrics:</w:t>
      </w:r>
      <w:r>
        <w:t xml:space="preserve"> </w:t>
      </w:r>
      <w:r>
        <w:t xml:space="preserve">- Training record completeness; audit trail review training evidenced by correct execution in drills and periodic sampling.</w:t>
      </w:r>
      <w:r>
        <w:t xml:space="preserve"> </w:t>
      </w:r>
      <w:hyperlink r:id="rId22">
        <w:r>
          <w:rPr>
            <w:rStyle w:val="Hyperlink"/>
          </w:rPr>
          <w:t xml:space="preserve">[35]</w:t>
        </w:r>
      </w:hyperlink>
      <w:r>
        <w:br/>
      </w:r>
      <w:r>
        <w:t xml:space="preserve">Residual risk / trade-offs: Training can become “checkbox compliance” unless paired with practical competency checks and real operational drills.</w:t>
      </w:r>
    </w:p>
    <w:p>
      <w:pPr>
        <w:pStyle w:val="BodyText"/>
      </w:pPr>
      <w:r>
        <w:rPr>
          <w:b/>
          <w:bCs/>
        </w:rPr>
        <w:t xml:space="preserve">Risk: Aggressive timeline</w:t>
      </w:r>
      <w:r>
        <w:br/>
      </w:r>
      <w:r>
        <w:t xml:space="preserve">Validation: Timing risk remains real because validation, supplier oversight, evidence capture, and controlled deployments take time regardless of networking maturity. Annex 11 requires validation documentation across lifecycle steps and expects system inventories and change control evidence, which are inherently time-consuming to do correctly.</w:t>
      </w:r>
      <w:r>
        <w:t xml:space="preserve"> </w:t>
      </w:r>
      <w:hyperlink r:id="rId21">
        <w:r>
          <w:rPr>
            <w:rStyle w:val="Hyperlink"/>
          </w:rPr>
          <w:t xml:space="preserve">[4]</w:t>
        </w:r>
      </w:hyperlink>
      <w:r>
        <w:br/>
      </w:r>
      <w:r>
        <w:t xml:space="preserve">Mitigations:</w:t>
      </w:r>
      <w:r>
        <w:t xml:space="preserve"> </w:t>
      </w:r>
      <w:r>
        <w:t xml:space="preserve">- Stage gates: pilot → limited production → scale with explicit entry/exit criteria (Priority: Medium, Effort: Medium).</w:t>
      </w:r>
      <w:r>
        <w:t xml:space="preserve"> </w:t>
      </w:r>
      <w:hyperlink r:id="rId21">
        <w:r>
          <w:rPr>
            <w:rStyle w:val="Hyperlink"/>
          </w:rPr>
          <w:t xml:space="preserve">[4]</w:t>
        </w:r>
      </w:hyperlink>
      <w:r>
        <w:br/>
      </w:r>
      <w:r>
        <w:t xml:space="preserve">- De-scope early by separating analytics/non-GMP dissemination from GMP-critical flows until evidence is complete (Priority: High, Effort: Medium).</w:t>
      </w:r>
      <w:r>
        <w:t xml:space="preserve"> </w:t>
      </w:r>
      <w:hyperlink r:id="rId21">
        <w:r>
          <w:rPr>
            <w:rStyle w:val="Hyperlink"/>
          </w:rPr>
          <w:t xml:space="preserve">[32]</w:t>
        </w:r>
      </w:hyperlink>
      <w:r>
        <w:br/>
      </w:r>
      <w:r>
        <w:t xml:space="preserve">Verification &amp; metrics:</w:t>
      </w:r>
      <w:r>
        <w:t xml:space="preserve"> </w:t>
      </w:r>
      <w:r>
        <w:t xml:space="preserve">- Gate adherence; defect density; number of late validation artifacts; rework rate.</w:t>
      </w:r>
      <w:r>
        <w:t xml:space="preserve"> </w:t>
      </w:r>
      <w:hyperlink r:id="rId21">
        <w:r>
          <w:rPr>
            <w:rStyle w:val="Hyperlink"/>
          </w:rPr>
          <w:t xml:space="preserve">[4]</w:t>
        </w:r>
      </w:hyperlink>
      <w:r>
        <w:br/>
      </w:r>
      <w:r>
        <w:t xml:space="preserve">Residual risk / trade-offs: A staged rollout delays some value but materially reduces the chance of a rushed, non-defensible release.</w:t>
      </w:r>
    </w:p>
    <w:p>
      <w:pPr>
        <w:pStyle w:val="BodyText"/>
      </w:pPr>
      <w:r>
        <w:rPr>
          <w:b/>
          <w:bCs/>
        </w:rPr>
        <w:t xml:space="preserve">Risk: Resource constraints</w:t>
      </w:r>
      <w:r>
        <w:br/>
      </w:r>
      <w:r>
        <w:t xml:space="preserve">Validation: Resource constraints remain legitimate because constrained teams tend to skip operational controls (monitoring, patching, validation maintenance), and those gaps directly undermine “state of control.” Annex 11 explicitly requires periodic evaluation and backup/restore checks; these are ongoing obligations.</w:t>
      </w:r>
      <w:r>
        <w:t xml:space="preserve"> </w:t>
      </w:r>
      <w:hyperlink r:id="rId21">
        <w:r>
          <w:rPr>
            <w:rStyle w:val="Hyperlink"/>
          </w:rPr>
          <w:t xml:space="preserve">[4]</w:t>
        </w:r>
      </w:hyperlink>
      <w:r>
        <w:br/>
      </w:r>
      <w:r>
        <w:t xml:space="preserve">Mitigations:</w:t>
      </w:r>
      <w:r>
        <w:t xml:space="preserve"> </w:t>
      </w:r>
      <w:r>
        <w:t xml:space="preserve">- Favor automation in monitoring and configuration deployment to reduce manual toil (Priority: Medium, Effort: Medium).</w:t>
      </w:r>
      <w:r>
        <w:t xml:space="preserve"> </w:t>
      </w:r>
      <w:hyperlink r:id="rId36">
        <w:r>
          <w:rPr>
            <w:rStyle w:val="Hyperlink"/>
          </w:rPr>
          <w:t xml:space="preserve">[54]</w:t>
        </w:r>
      </w:hyperlink>
      <w:r>
        <w:br/>
      </w:r>
      <w:r>
        <w:t xml:space="preserve">- Use standard templates (“golden builds”) for gateways, modeling hubs, and brokers to reduce per-site engineering (Priority: Medium, Effort: Medium).</w:t>
      </w:r>
      <w:r>
        <w:t xml:space="preserve"> </w:t>
      </w:r>
      <w:hyperlink r:id="rId21">
        <w:r>
          <w:rPr>
            <w:rStyle w:val="Hyperlink"/>
          </w:rPr>
          <w:t xml:space="preserve">[4]</w:t>
        </w:r>
      </w:hyperlink>
      <w:r>
        <w:br/>
      </w:r>
      <w:r>
        <w:t xml:space="preserve">Verification &amp; metrics:</w:t>
      </w:r>
      <w:r>
        <w:t xml:space="preserve"> </w:t>
      </w:r>
      <w:r>
        <w:t xml:space="preserve">- Metrics: patch latency; certificate expiry near-misses; monitoring coverage; ratio of automated vs manual tests.</w:t>
      </w:r>
      <w:r>
        <w:t xml:space="preserve"> </w:t>
      </w:r>
      <w:hyperlink r:id="rId36">
        <w:r>
          <w:rPr>
            <w:rStyle w:val="Hyperlink"/>
          </w:rPr>
          <w:t xml:space="preserve">[50]</w:t>
        </w:r>
      </w:hyperlink>
      <w:r>
        <w:br/>
      </w:r>
      <w:r>
        <w:t xml:space="preserve">Residual risk / trade-offs: Automation requires upfront engineering; the trade is sustainable operations and fewer hidden compliance gaps.</w:t>
      </w:r>
    </w:p>
    <w:p>
      <w:pPr>
        <w:pStyle w:val="BodyText"/>
      </w:pPr>
      <w:r>
        <w:rPr>
          <w:b/>
          <w:bCs/>
        </w:rPr>
        <w:t xml:space="preserve">Risk: Vendor support questioned</w:t>
      </w:r>
      <w:r>
        <w:br/>
      </w:r>
      <w:r>
        <w:t xml:space="preserve">Validation: This remains legitimate because support responsiveness affects outage duration, patch cadence, and the ability to stay in a validated state. Annex 11 requires formal agreements with third parties providing/maintaining computerized systems and emphasizes supplier competence and risk-based auditing.</w:t>
      </w:r>
      <w:r>
        <w:t xml:space="preserve"> </w:t>
      </w:r>
      <w:hyperlink r:id="rId21">
        <w:r>
          <w:rPr>
            <w:rStyle w:val="Hyperlink"/>
          </w:rPr>
          <w:t xml:space="preserve">[8]</w:t>
        </w:r>
      </w:hyperlink>
      <w:r>
        <w:br/>
      </w:r>
      <w:r>
        <w:t xml:space="preserve">Mitigations:</w:t>
      </w:r>
      <w:r>
        <w:t xml:space="preserve"> </w:t>
      </w:r>
      <w:r>
        <w:t xml:space="preserve">- Contractual SLAs and escalation ladder; define vulnerability/patch timelines and support hours (Priority: Medium, Effort: Medium).</w:t>
      </w:r>
      <w:r>
        <w:t xml:space="preserve"> </w:t>
      </w:r>
      <w:hyperlink r:id="rId21">
        <w:r>
          <w:rPr>
            <w:rStyle w:val="Hyperlink"/>
          </w:rPr>
          <w:t xml:space="preserve">[10]</w:t>
        </w:r>
      </w:hyperlink>
      <w:r>
        <w:br/>
      </w:r>
      <w:r>
        <w:t xml:space="preserve">- Maintain internal operational independence: routine backup/restore drills and recovery runbooks for broker and gateways (Priority: High, Effort: Medium).</w:t>
      </w:r>
      <w:r>
        <w:t xml:space="preserve"> </w:t>
      </w:r>
      <w:hyperlink r:id="rId43">
        <w:r>
          <w:rPr>
            <w:rStyle w:val="Hyperlink"/>
          </w:rPr>
          <w:t xml:space="preserve">[55]</w:t>
        </w:r>
      </w:hyperlink>
      <w:r>
        <w:br/>
      </w:r>
      <w:r>
        <w:t xml:space="preserve">Verification &amp; metrics:</w:t>
      </w:r>
      <w:r>
        <w:t xml:space="preserve"> </w:t>
      </w:r>
      <w:r>
        <w:t xml:space="preserve">- Support drills: measure time to vendor response and time to mitigation; SLA compliance rate; patch lead time.</w:t>
      </w:r>
      <w:r>
        <w:t xml:space="preserve"> </w:t>
      </w:r>
      <w:hyperlink r:id="rId21">
        <w:r>
          <w:rPr>
            <w:rStyle w:val="Hyperlink"/>
          </w:rPr>
          <w:t xml:space="preserve">[22]</w:t>
        </w:r>
      </w:hyperlink>
      <w:r>
        <w:br/>
      </w:r>
      <w:r>
        <w:t xml:space="preserve">Residual risk / trade-offs: Higher support tiers cost more; the trade is faster incident resolution and lower prolonged downtime risk.</w:t>
      </w:r>
    </w:p>
    <w:bookmarkEnd w:id="44"/>
    <w:bookmarkStart w:id="59" w:name="X1480efe95d780db96805fc8fc134efbc801a8ec"/>
    <w:p>
      <w:pPr>
        <w:pStyle w:val="Heading2"/>
      </w:pPr>
      <w:r>
        <w:t xml:space="preserve">Product-specific security and configuration guidance under the assumed IAM/topology</w:t>
      </w:r>
    </w:p>
    <w:p>
      <w:pPr>
        <w:pStyle w:val="FirstParagraph"/>
      </w:pPr>
      <w:r>
        <w:t xml:space="preserve">This section focuses on</w:t>
      </w:r>
      <w:r>
        <w:t xml:space="preserve"> </w:t>
      </w:r>
      <w:r>
        <w:rPr>
          <w:b/>
          <w:bCs/>
        </w:rPr>
        <w:t xml:space="preserve">product-level controls that still matter</w:t>
      </w:r>
      <w:r>
        <w:t xml:space="preserve"> </w:t>
      </w:r>
      <w:r>
        <w:t xml:space="preserve">even when your network and IAM foundations are best-in-class.</w:t>
      </w:r>
    </w:p>
    <w:bookmarkStart w:id="49" w:name="ignition-hardening-focus-areas"/>
    <w:p>
      <w:pPr>
        <w:pStyle w:val="Heading3"/>
      </w:pPr>
      <w:r>
        <w:t xml:space="preserve">Ignition hardening focus areas</w:t>
      </w:r>
    </w:p>
    <w:p>
      <w:pPr>
        <w:pStyle w:val="Compact"/>
        <w:numPr>
          <w:ilvl w:val="0"/>
          <w:numId w:val="1001"/>
        </w:numPr>
      </w:pPr>
      <w:r>
        <w:t xml:space="preserve">Enforce HTTPS/TLS for the Gateway—Inductive’s security hardening guide explicitly states this is the first and most important step.</w:t>
      </w:r>
      <w:r>
        <w:t xml:space="preserve"> </w:t>
      </w:r>
      <w:hyperlink r:id="rId37">
        <w:r>
          <w:rPr>
            <w:rStyle w:val="Hyperlink"/>
          </w:rPr>
          <w:t xml:space="preserve">[56]</w:t>
        </w:r>
      </w:hyperlink>
    </w:p>
    <w:p>
      <w:pPr>
        <w:pStyle w:val="Compact"/>
        <w:numPr>
          <w:ilvl w:val="0"/>
          <w:numId w:val="1001"/>
        </w:numPr>
      </w:pPr>
      <w:r>
        <w:t xml:space="preserve">Integrate user authentication with enterprise IdP via Ignition Identity Providers (Internal/OIDC/SAML are supported per the Ignition Identity Provider Authentication Strategy documentation).</w:t>
      </w:r>
      <w:r>
        <w:t xml:space="preserve"> </w:t>
      </w:r>
      <w:hyperlink r:id="rId38">
        <w:r>
          <w:rPr>
            <w:rStyle w:val="Hyperlink"/>
          </w:rPr>
          <w:t xml:space="preserve">[57]</w:t>
        </w:r>
      </w:hyperlink>
    </w:p>
    <w:p>
      <w:pPr>
        <w:pStyle w:val="Compact"/>
        <w:numPr>
          <w:ilvl w:val="0"/>
          <w:numId w:val="1001"/>
        </w:numPr>
      </w:pPr>
      <w:r>
        <w:t xml:space="preserve">Use Security Zones for additional policy restrictions tied to client/network origin (useful even with RBAC when zone-based separation is desired).</w:t>
      </w:r>
      <w:r>
        <w:t xml:space="preserve"> </w:t>
      </w:r>
      <w:hyperlink r:id="rId45">
        <w:r>
          <w:rPr>
            <w:rStyle w:val="Hyperlink"/>
          </w:rPr>
          <w:t xml:space="preserve">[58]</w:t>
        </w:r>
      </w:hyperlink>
    </w:p>
    <w:p>
      <w:pPr>
        <w:pStyle w:val="Compact"/>
        <w:numPr>
          <w:ilvl w:val="0"/>
          <w:numId w:val="1001"/>
        </w:numPr>
      </w:pPr>
      <w:r>
        <w:t xml:space="preserve">Enable and retain audit logging via Audit Profiles; configure retention aligned to your record policy and audit trail review expectations.</w:t>
      </w:r>
      <w:r>
        <w:t xml:space="preserve"> </w:t>
      </w:r>
      <w:hyperlink r:id="rId39">
        <w:r>
          <w:rPr>
            <w:rStyle w:val="Hyperlink"/>
          </w:rPr>
          <w:t xml:space="preserve">[59]</w:t>
        </w:r>
      </w:hyperlink>
    </w:p>
    <w:p>
      <w:pPr>
        <w:pStyle w:val="Compact"/>
        <w:numPr>
          <w:ilvl w:val="0"/>
          <w:numId w:val="1001"/>
        </w:numPr>
      </w:pPr>
      <w:r>
        <w:t xml:space="preserve">Implement redundancy where Ignition is mission-critical; Ignition describes a 2-node redundancy approach where the master replicates configuration to the backup and clients fail over.</w:t>
      </w:r>
      <w:r>
        <w:t xml:space="preserve"> </w:t>
      </w:r>
      <w:hyperlink r:id="rId46">
        <w:r>
          <w:rPr>
            <w:rStyle w:val="Hyperlink"/>
          </w:rPr>
          <w:t xml:space="preserve">[60]</w:t>
        </w:r>
      </w:hyperlink>
    </w:p>
    <w:p>
      <w:pPr>
        <w:pStyle w:val="Compact"/>
        <w:numPr>
          <w:ilvl w:val="0"/>
          <w:numId w:val="1001"/>
        </w:numPr>
      </w:pPr>
      <w:r>
        <w:t xml:space="preserve">Control and document port exposure using the Gateway port reference; align to allow-listing and least functionality.</w:t>
      </w:r>
      <w:r>
        <w:t xml:space="preserve"> </w:t>
      </w:r>
      <w:hyperlink r:id="rId47">
        <w:r>
          <w:rPr>
            <w:rStyle w:val="Hyperlink"/>
          </w:rPr>
          <w:t xml:space="preserve">[61]</w:t>
        </w:r>
      </w:hyperlink>
    </w:p>
    <w:p>
      <w:pPr>
        <w:pStyle w:val="Compact"/>
        <w:numPr>
          <w:ilvl w:val="0"/>
          <w:numId w:val="1001"/>
        </w:numPr>
      </w:pPr>
      <w:r>
        <w:t xml:space="preserve">Manage Gateway Network certificates deliberately: Ignition generates self-signed Gateway Network certificates by default; if your corporate PKI requires centralized control, plan how these certificates are governed and rotated.</w:t>
      </w:r>
      <w:r>
        <w:t xml:space="preserve"> </w:t>
      </w:r>
      <w:hyperlink r:id="rId48">
        <w:r>
          <w:rPr>
            <w:rStyle w:val="Hyperlink"/>
          </w:rPr>
          <w:t xml:space="preserve">[62]</w:t>
        </w:r>
      </w:hyperlink>
    </w:p>
    <w:bookmarkEnd w:id="49"/>
    <w:bookmarkStart w:id="56" w:name="highbyte-hardening-focus-areas"/>
    <w:p>
      <w:pPr>
        <w:pStyle w:val="Heading3"/>
      </w:pPr>
      <w:r>
        <w:t xml:space="preserve">HighByte hardening focus areas</w:t>
      </w:r>
    </w:p>
    <w:p>
      <w:pPr>
        <w:pStyle w:val="Compact"/>
        <w:numPr>
          <w:ilvl w:val="0"/>
          <w:numId w:val="1002"/>
        </w:numPr>
      </w:pPr>
      <w:r>
        <w:t xml:space="preserve">Eliminate insecure defaults: HighByte documents that the configuration UI is available at</w:t>
      </w:r>
      <w:r>
        <w:t xml:space="preserve"> </w:t>
      </w:r>
      <w:r>
        <w:rPr>
          <w:rStyle w:val="VerbatimChar"/>
        </w:rPr>
        <w:t xml:space="preserve">http://localhost:45245</w:t>
      </w:r>
      <w:r>
        <w:t xml:space="preserve"> </w:t>
      </w:r>
      <w:r>
        <w:t xml:space="preserve">and the default username is</w:t>
      </w:r>
      <w:r>
        <w:t xml:space="preserve"> </w:t>
      </w:r>
      <w:r>
        <w:rPr>
          <w:rStyle w:val="VerbatimChar"/>
        </w:rPr>
        <w:t xml:space="preserve">administrator</w:t>
      </w:r>
      <w:r>
        <w:t xml:space="preserve"> </w:t>
      </w:r>
      <w:r>
        <w:t xml:space="preserve">with no password—this must be remediated and restricted so configuration is never reachable without strong auth, even inside segmented zones.</w:t>
      </w:r>
      <w:r>
        <w:t xml:space="preserve"> </w:t>
      </w:r>
      <w:hyperlink r:id="rId50">
        <w:r>
          <w:rPr>
            <w:rStyle w:val="Hyperlink"/>
          </w:rPr>
          <w:t xml:space="preserve">[63]</w:t>
        </w:r>
      </w:hyperlink>
    </w:p>
    <w:p>
      <w:pPr>
        <w:pStyle w:val="Compact"/>
        <w:numPr>
          <w:ilvl w:val="0"/>
          <w:numId w:val="1002"/>
        </w:numPr>
      </w:pPr>
      <w:r>
        <w:t xml:space="preserve">Implement RBAC via Users/Roles/Claims (align to your enterprise roles and least privilege).</w:t>
      </w:r>
      <w:r>
        <w:t xml:space="preserve"> </w:t>
      </w:r>
      <w:hyperlink r:id="rId51">
        <w:r>
          <w:rPr>
            <w:rStyle w:val="Hyperlink"/>
          </w:rPr>
          <w:t xml:space="preserve">[64]</w:t>
        </w:r>
      </w:hyperlink>
    </w:p>
    <w:p>
      <w:pPr>
        <w:pStyle w:val="Compact"/>
        <w:numPr>
          <w:ilvl w:val="0"/>
          <w:numId w:val="1002"/>
        </w:numPr>
      </w:pPr>
      <w:r>
        <w:t xml:space="preserve">Use certificate-based trust for external connections; HighByte’s Certificates section explicitly frames certificates for encrypting/validating TLS connections (including MQTT).</w:t>
      </w:r>
      <w:r>
        <w:t xml:space="preserve"> </w:t>
      </w:r>
      <w:hyperlink r:id="rId52">
        <w:r>
          <w:rPr>
            <w:rStyle w:val="Hyperlink"/>
          </w:rPr>
          <w:t xml:space="preserve">[65]</w:t>
        </w:r>
      </w:hyperlink>
    </w:p>
    <w:p>
      <w:pPr>
        <w:pStyle w:val="Compact"/>
        <w:numPr>
          <w:ilvl w:val="0"/>
          <w:numId w:val="1002"/>
        </w:numPr>
      </w:pPr>
      <w:r>
        <w:t xml:space="preserve">Use the built-in Secrets mechanism appropriately: HighByte states secrets are stored encrypted on the local file system using a private key in</w:t>
      </w:r>
      <w:r>
        <w:t xml:space="preserve"> </w:t>
      </w:r>
      <w:r>
        <w:rPr>
          <w:rStyle w:val="VerbatimChar"/>
        </w:rPr>
        <w:t xml:space="preserve">intelligencehub-certificatestore.pkcs12</w:t>
      </w:r>
      <w:r>
        <w:t xml:space="preserve">; treat this file as highly sensitive (backup/restore controls, restricted OS access).</w:t>
      </w:r>
      <w:r>
        <w:t xml:space="preserve"> </w:t>
      </w:r>
      <w:hyperlink r:id="rId53">
        <w:r>
          <w:rPr>
            <w:rStyle w:val="Hyperlink"/>
          </w:rPr>
          <w:t xml:space="preserve">[66]</w:t>
        </w:r>
      </w:hyperlink>
    </w:p>
    <w:p>
      <w:pPr>
        <w:pStyle w:val="Compact"/>
        <w:numPr>
          <w:ilvl w:val="0"/>
          <w:numId w:val="1002"/>
        </w:numPr>
      </w:pPr>
      <w:r>
        <w:t xml:space="preserve">Enable REST Data Server only when needed; enable HTTPS (recommended) and prefer bearer token authentication as HighByte recommends; avoid anonymous access.</w:t>
      </w:r>
      <w:r>
        <w:t xml:space="preserve"> </w:t>
      </w:r>
      <w:hyperlink r:id="rId54">
        <w:r>
          <w:rPr>
            <w:rStyle w:val="Hyperlink"/>
          </w:rPr>
          <w:t xml:space="preserve">[67]</w:t>
        </w:r>
      </w:hyperlink>
    </w:p>
    <w:p>
      <w:pPr>
        <w:pStyle w:val="Compact"/>
        <w:numPr>
          <w:ilvl w:val="0"/>
          <w:numId w:val="1002"/>
        </w:numPr>
      </w:pPr>
      <w:r>
        <w:t xml:space="preserve">Use store-and-forward where lossless delivery matters: HighByte describes that writes are stored to disk first and only cleared after success, FIFO, stored in a SQLite file under the configured store-and-forward directory.</w:t>
      </w:r>
      <w:r>
        <w:t xml:space="preserve"> </w:t>
      </w:r>
      <w:hyperlink r:id="rId55">
        <w:r>
          <w:rPr>
            <w:rStyle w:val="Hyperlink"/>
          </w:rPr>
          <w:t xml:space="preserve">[68]</w:t>
        </w:r>
      </w:hyperlink>
    </w:p>
    <w:p>
      <w:pPr>
        <w:pStyle w:val="Compact"/>
        <w:numPr>
          <w:ilvl w:val="0"/>
          <w:numId w:val="1002"/>
        </w:numPr>
      </w:pPr>
      <w:r>
        <w:t xml:space="preserve">Adopt High Availability mode for continuity needs: HighByte documents HA mode as multi-node with one active and standby nodes ready to take over via heartbeats and file synchronization.</w:t>
      </w:r>
      <w:r>
        <w:t xml:space="preserve"> </w:t>
      </w:r>
      <w:hyperlink r:id="rId33">
        <w:r>
          <w:rPr>
            <w:rStyle w:val="Hyperlink"/>
          </w:rPr>
          <w:t xml:space="preserve">[69]</w:t>
        </w:r>
      </w:hyperlink>
    </w:p>
    <w:bookmarkEnd w:id="56"/>
    <w:bookmarkStart w:id="58" w:name="hivemq-hardening-focus-areas"/>
    <w:p>
      <w:pPr>
        <w:pStyle w:val="Heading3"/>
      </w:pPr>
      <w:r>
        <w:t xml:space="preserve">HiveMQ hardening focus areas</w:t>
      </w:r>
    </w:p>
    <w:p>
      <w:pPr>
        <w:pStyle w:val="Compact"/>
        <w:numPr>
          <w:ilvl w:val="0"/>
          <w:numId w:val="1003"/>
        </w:numPr>
      </w:pPr>
      <w:r>
        <w:t xml:space="preserve">TLS-only listener posture and explicit protocol control: HiveMQ documents TLS listeners and recommends TLS 1.2/1.3 by default; it also states you must explicitly enable older TLS versions if needed (generally undesirable in regulated OT environments).</w:t>
      </w:r>
      <w:r>
        <w:t xml:space="preserve"> </w:t>
      </w:r>
      <w:hyperlink r:id="rId27">
        <w:r>
          <w:rPr>
            <w:rStyle w:val="Hyperlink"/>
          </w:rPr>
          <w:t xml:space="preserve">[70]</w:t>
        </w:r>
      </w:hyperlink>
    </w:p>
    <w:p>
      <w:pPr>
        <w:pStyle w:val="Compact"/>
        <w:numPr>
          <w:ilvl w:val="0"/>
          <w:numId w:val="1003"/>
        </w:numPr>
      </w:pPr>
      <w:r>
        <w:t xml:space="preserve">Use mutual TLS (client certs) for device/service authentication: HiveMQ provides explicit how-tos for TLS with client certificates and illustrates trust store configuration requirements.</w:t>
      </w:r>
      <w:r>
        <w:t xml:space="preserve"> </w:t>
      </w:r>
      <w:hyperlink r:id="rId57">
        <w:r>
          <w:rPr>
            <w:rStyle w:val="Hyperlink"/>
          </w:rPr>
          <w:t xml:space="preserve">[71]</w:t>
        </w:r>
      </w:hyperlink>
    </w:p>
    <w:p>
      <w:pPr>
        <w:pStyle w:val="Compact"/>
        <w:numPr>
          <w:ilvl w:val="0"/>
          <w:numId w:val="1003"/>
        </w:numPr>
      </w:pPr>
      <w:r>
        <w:t xml:space="preserve">Enforce authorization with a security extension: HiveMQ states authentication/authorization are handled through security extensions and explicitly warns to remove the</w:t>
      </w:r>
      <w:r>
        <w:t xml:space="preserve"> </w:t>
      </w:r>
      <w:r>
        <w:rPr>
          <w:rStyle w:val="VerbatimChar"/>
        </w:rPr>
        <w:t xml:space="preserve">hivemq-allow-all-extension</w:t>
      </w:r>
      <w:r>
        <w:t xml:space="preserve"> </w:t>
      </w:r>
      <w:r>
        <w:t xml:space="preserve">before production; topic-level authorization can be implemented via extensions such as the File RBAC extension (fine-grained topic publish/subscribe control).</w:t>
      </w:r>
      <w:r>
        <w:t xml:space="preserve"> </w:t>
      </w:r>
      <w:hyperlink r:id="rId27">
        <w:r>
          <w:rPr>
            <w:rStyle w:val="Hyperlink"/>
          </w:rPr>
          <w:t xml:space="preserve">[72]</w:t>
        </w:r>
      </w:hyperlink>
    </w:p>
    <w:p>
      <w:pPr>
        <w:pStyle w:val="Compact"/>
        <w:numPr>
          <w:ilvl w:val="0"/>
          <w:numId w:val="1003"/>
        </w:numPr>
      </w:pPr>
      <w:r>
        <w:t xml:space="preserve">Apply RBAC to administrative access: HiveMQ documents RBAC for Control Center users in Enterprise Edition.</w:t>
      </w:r>
      <w:r>
        <w:t xml:space="preserve"> </w:t>
      </w:r>
      <w:hyperlink r:id="rId31">
        <w:r>
          <w:rPr>
            <w:rStyle w:val="Hyperlink"/>
          </w:rPr>
          <w:t xml:space="preserve">[73]</w:t>
        </w:r>
      </w:hyperlink>
    </w:p>
    <w:p>
      <w:pPr>
        <w:pStyle w:val="Compact"/>
        <w:numPr>
          <w:ilvl w:val="0"/>
          <w:numId w:val="1003"/>
        </w:numPr>
      </w:pPr>
      <w:r>
        <w:t xml:space="preserve">High availability and durability: HiveMQ document cluster replicas and dynamic redistribution to maintain configured replica counts; use this to align to durability expectations for persistent sessions and retained messages.</w:t>
      </w:r>
      <w:r>
        <w:t xml:space="preserve"> </w:t>
      </w:r>
      <w:hyperlink r:id="rId34">
        <w:r>
          <w:rPr>
            <w:rStyle w:val="Hyperlink"/>
          </w:rPr>
          <w:t xml:space="preserve">[74]</w:t>
        </w:r>
      </w:hyperlink>
    </w:p>
    <w:p>
      <w:pPr>
        <w:pStyle w:val="Compact"/>
        <w:numPr>
          <w:ilvl w:val="0"/>
          <w:numId w:val="1003"/>
        </w:numPr>
      </w:pPr>
      <w:r>
        <w:t xml:space="preserve">Monitoring is non-negotiable: HiveMQ states monitoring is essential in production and strongly recommends appropriate monitoring for critical infrastructure deployments.</w:t>
      </w:r>
      <w:r>
        <w:t xml:space="preserve"> </w:t>
      </w:r>
      <w:hyperlink r:id="rId36">
        <w:r>
          <w:rPr>
            <w:rStyle w:val="Hyperlink"/>
          </w:rPr>
          <w:t xml:space="preserve">[52]</w:t>
        </w:r>
      </w:hyperlink>
    </w:p>
    <w:p>
      <w:pPr>
        <w:pStyle w:val="Compact"/>
        <w:numPr>
          <w:ilvl w:val="0"/>
          <w:numId w:val="1003"/>
        </w:numPr>
      </w:pPr>
      <w:r>
        <w:t xml:space="preserve">Backup/restore and recovery runbooks: HiveMQ documents backup/restore via Control Center and explicitly frames recovery runbooks as best practice for mission-critical deployments.</w:t>
      </w:r>
      <w:r>
        <w:t xml:space="preserve"> </w:t>
      </w:r>
      <w:hyperlink r:id="rId43">
        <w:r>
          <w:rPr>
            <w:rStyle w:val="Hyperlink"/>
          </w:rPr>
          <w:t xml:space="preserve">[75]</w:t>
        </w:r>
      </w:hyperlink>
    </w:p>
    <w:p>
      <w:pPr>
        <w:pStyle w:val="Compact"/>
        <w:numPr>
          <w:ilvl w:val="0"/>
          <w:numId w:val="1003"/>
        </w:numPr>
      </w:pPr>
      <w:r>
        <w:t xml:space="preserve">Overload protection: HiveMQ provides built-in cluster overload protection and connection throttling controls to reduce outage risk under spikes.</w:t>
      </w:r>
      <w:r>
        <w:t xml:space="preserve"> </w:t>
      </w:r>
      <w:hyperlink r:id="rId35">
        <w:r>
          <w:rPr>
            <w:rStyle w:val="Hyperlink"/>
          </w:rPr>
          <w:t xml:space="preserve">[19]</w:t>
        </w:r>
      </w:hyperlink>
    </w:p>
    <w:p>
      <w:pPr>
        <w:pStyle w:val="Compact"/>
        <w:numPr>
          <w:ilvl w:val="0"/>
          <w:numId w:val="1003"/>
        </w:numPr>
      </w:pPr>
      <w:r>
        <w:t xml:space="preserve">Confidentiality trade-off: HiveMQ notes application-layer encryption does not protect topic names and does not secure CONNECT and other non-PUBLISH messages; TLS is the correct primary control for confidentiality and integrity in transit.</w:t>
      </w:r>
      <w:r>
        <w:t xml:space="preserve"> </w:t>
      </w:r>
      <w:hyperlink r:id="rId27">
        <w:r>
          <w:rPr>
            <w:rStyle w:val="Hyperlink"/>
          </w:rPr>
          <w:t xml:space="preserve">[6]</w:t>
        </w:r>
      </w:hyperlink>
    </w:p>
    <w:bookmarkEnd w:id="58"/>
    <w:bookmarkEnd w:id="59"/>
    <w:bookmarkStart w:id="62" w:name="X6e1442c75cf3912cbbcca0ef40b7c17030f2778"/>
    <w:p>
      <w:pPr>
        <w:pStyle w:val="Heading2"/>
      </w:pPr>
      <w:r>
        <w:t xml:space="preserve">Ongoing assurance, monitoring, and incident response for sustained compliance</w:t>
      </w:r>
    </w:p>
    <w:p>
      <w:pPr>
        <w:pStyle w:val="FirstParagraph"/>
      </w:pPr>
      <w:r>
        <w:t xml:space="preserve">A key takeaway from EU Annex 11 is that computerized systems must be periodically evaluated to confirm they remain in a valid state, including performance, reliability, security, deviation history, and validation status. Separately, Annex 11 requires regular backups and that restore capability be checked during validation and monitored periodically. These requirements mean the plant bus needs an explicit “assurance loop,” not just a secure build.</w:t>
      </w:r>
      <w:r>
        <w:t xml:space="preserve"> </w:t>
      </w:r>
      <w:hyperlink r:id="rId21">
        <w:r>
          <w:rPr>
            <w:rStyle w:val="Hyperlink"/>
          </w:rPr>
          <w:t xml:space="preserve">[4]</w:t>
        </w:r>
      </w:hyperlink>
    </w:p>
    <w:p>
      <w:pPr>
        <w:pStyle w:val="BodyText"/>
      </w:pPr>
      <w:r>
        <w:t xml:space="preserve">A practical assurance loop (aligned to your best-practice topology/IAM) should include:</w:t>
      </w:r>
    </w:p>
    <w:p>
      <w:pPr>
        <w:pStyle w:val="Compact"/>
        <w:numPr>
          <w:ilvl w:val="0"/>
          <w:numId w:val="1004"/>
        </w:numPr>
      </w:pPr>
      <w:r>
        <w:rPr>
          <w:b/>
          <w:bCs/>
        </w:rPr>
        <w:t xml:space="preserve">Periodic evaluation cadence (quarterly/biannual)</w:t>
      </w:r>
      <w:r>
        <w:t xml:space="preserve">: review incidents, upgrades, security posture, and performance reliability metrics; confirm validation status remains intact.</w:t>
      </w:r>
      <w:r>
        <w:t xml:space="preserve"> </w:t>
      </w:r>
      <w:hyperlink r:id="rId21">
        <w:r>
          <w:rPr>
            <w:rStyle w:val="Hyperlink"/>
          </w:rPr>
          <w:t xml:space="preserve">[41]</w:t>
        </w:r>
      </w:hyperlink>
    </w:p>
    <w:p>
      <w:pPr>
        <w:pStyle w:val="Compact"/>
        <w:numPr>
          <w:ilvl w:val="0"/>
          <w:numId w:val="1004"/>
        </w:numPr>
      </w:pPr>
      <w:r>
        <w:rPr>
          <w:b/>
          <w:bCs/>
        </w:rPr>
        <w:t xml:space="preserve">Audit trail review program</w:t>
      </w:r>
      <w:r>
        <w:t xml:space="preserve">: FDA states audit trail review should be performed by personnel responsible for record review and that when record review frequency is specified in CGMP regulations, the same frequency should apply for audit trail review.</w:t>
      </w:r>
      <w:r>
        <w:t xml:space="preserve"> </w:t>
      </w:r>
      <w:hyperlink r:id="rId22">
        <w:r>
          <w:rPr>
            <w:rStyle w:val="Hyperlink"/>
          </w:rPr>
          <w:t xml:space="preserve">[29]</w:t>
        </w:r>
      </w:hyperlink>
    </w:p>
    <w:p>
      <w:pPr>
        <w:pStyle w:val="Compact"/>
        <w:numPr>
          <w:ilvl w:val="0"/>
          <w:numId w:val="1004"/>
        </w:numPr>
      </w:pPr>
      <w:r>
        <w:rPr>
          <w:b/>
          <w:bCs/>
        </w:rPr>
        <w:t xml:space="preserve">Routine checks for automated systems</w:t>
      </w:r>
      <w:r>
        <w:t xml:space="preserve">: 21 CFR 211.68 requires that automated/electronic equipment used in drug manufacturing be routinely calibrated/inspected/checked according to a written program, with written records maintained; apply this concept to middleware components that perform GMP-relevant functions (availability checks, alert tests, backup restore tests, cert rotation tests).</w:t>
      </w:r>
      <w:r>
        <w:t xml:space="preserve"> </w:t>
      </w:r>
      <w:hyperlink r:id="rId60">
        <w:r>
          <w:rPr>
            <w:rStyle w:val="Hyperlink"/>
          </w:rPr>
          <w:t xml:space="preserve">[76]</w:t>
        </w:r>
      </w:hyperlink>
    </w:p>
    <w:p>
      <w:pPr>
        <w:pStyle w:val="Compact"/>
        <w:numPr>
          <w:ilvl w:val="0"/>
          <w:numId w:val="1004"/>
        </w:numPr>
      </w:pPr>
      <w:r>
        <w:rPr>
          <w:b/>
          <w:bCs/>
        </w:rPr>
        <w:t xml:space="preserve">Metrics that matter (measurable, trendable)</w:t>
      </w:r>
      <w:r>
        <w:t xml:space="preserve">:</w:t>
      </w:r>
    </w:p>
    <w:p>
      <w:pPr>
        <w:pStyle w:val="Compact"/>
        <w:numPr>
          <w:ilvl w:val="0"/>
          <w:numId w:val="1004"/>
        </w:numPr>
      </w:pPr>
      <w:r>
        <w:t xml:space="preserve">Data integrity: missing critical events per batch; reconciliation exception rate; schema conformance; time drift alarms.</w:t>
      </w:r>
      <w:r>
        <w:t xml:space="preserve"> </w:t>
      </w:r>
      <w:hyperlink r:id="rId22">
        <w:r>
          <w:rPr>
            <w:rStyle w:val="Hyperlink"/>
          </w:rPr>
          <w:t xml:space="preserve">[30]</w:t>
        </w:r>
      </w:hyperlink>
    </w:p>
    <w:p>
      <w:pPr>
        <w:pStyle w:val="Compact"/>
        <w:numPr>
          <w:ilvl w:val="0"/>
          <w:numId w:val="1004"/>
        </w:numPr>
      </w:pPr>
      <w:r>
        <w:t xml:space="preserve">Security: unauthorized connection attempts; ACL denies; failed auth bursts; unusual topic scans.</w:t>
      </w:r>
      <w:r>
        <w:t xml:space="preserve"> </w:t>
      </w:r>
      <w:hyperlink r:id="rId30">
        <w:r>
          <w:rPr>
            <w:rStyle w:val="Hyperlink"/>
          </w:rPr>
          <w:t xml:space="preserve">[46]</w:t>
        </w:r>
      </w:hyperlink>
    </w:p>
    <w:p>
      <w:pPr>
        <w:pStyle w:val="Compact"/>
        <w:numPr>
          <w:ilvl w:val="0"/>
          <w:numId w:val="1004"/>
        </w:numPr>
      </w:pPr>
      <w:r>
        <w:t xml:space="preserve">Resilience: failover time, backlog drain time, drop/dup rate, availability SLO compliance.</w:t>
      </w:r>
      <w:r>
        <w:t xml:space="preserve"> </w:t>
      </w:r>
      <w:hyperlink r:id="rId32">
        <w:r>
          <w:rPr>
            <w:rStyle w:val="Hyperlink"/>
          </w:rPr>
          <w:t xml:space="preserve">[77]</w:t>
        </w:r>
      </w:hyperlink>
    </w:p>
    <w:p>
      <w:pPr>
        <w:pStyle w:val="Compact"/>
        <w:numPr>
          <w:ilvl w:val="0"/>
          <w:numId w:val="1004"/>
        </w:numPr>
      </w:pPr>
      <w:r>
        <w:rPr>
          <w:b/>
          <w:bCs/>
        </w:rPr>
        <w:t xml:space="preserve">Incident response playbooks</w:t>
      </w:r>
      <w:r>
        <w:t xml:space="preserve"> </w:t>
      </w:r>
      <w:r>
        <w:t xml:space="preserve">specifically for:</w:t>
      </w:r>
    </w:p>
    <w:p>
      <w:pPr>
        <w:pStyle w:val="Compact"/>
        <w:numPr>
          <w:ilvl w:val="0"/>
          <w:numId w:val="1004"/>
        </w:numPr>
      </w:pPr>
      <w:r>
        <w:t xml:space="preserve">Certificate expiry/revocation and failed mTLS handshakes.</w:t>
      </w:r>
      <w:r>
        <w:t xml:space="preserve"> </w:t>
      </w:r>
      <w:hyperlink r:id="rId27">
        <w:r>
          <w:rPr>
            <w:rStyle w:val="Hyperlink"/>
          </w:rPr>
          <w:t xml:space="preserve">[78]</w:t>
        </w:r>
      </w:hyperlink>
    </w:p>
    <w:p>
      <w:pPr>
        <w:pStyle w:val="Compact"/>
        <w:numPr>
          <w:ilvl w:val="0"/>
          <w:numId w:val="1004"/>
        </w:numPr>
      </w:pPr>
      <w:r>
        <w:t xml:space="preserve">Unauthorized publish/subscribe attempts (containment on topic-level auth).</w:t>
      </w:r>
      <w:r>
        <w:t xml:space="preserve"> </w:t>
      </w:r>
      <w:hyperlink r:id="rId61">
        <w:r>
          <w:rPr>
            <w:rStyle w:val="Hyperlink"/>
          </w:rPr>
          <w:t xml:space="preserve">[79]</w:t>
        </w:r>
      </w:hyperlink>
    </w:p>
    <w:p>
      <w:pPr>
        <w:pStyle w:val="Compact"/>
        <w:numPr>
          <w:ilvl w:val="0"/>
          <w:numId w:val="1004"/>
        </w:numPr>
      </w:pPr>
      <w:r>
        <w:t xml:space="preserve">Store-and-forward backlog growth and replay-induced duplicates.</w:t>
      </w:r>
      <w:r>
        <w:t xml:space="preserve"> </w:t>
      </w:r>
      <w:hyperlink r:id="rId55">
        <w:r>
          <w:rPr>
            <w:rStyle w:val="Hyperlink"/>
          </w:rPr>
          <w:t xml:space="preserve">[80]</w:t>
        </w:r>
      </w:hyperlink>
    </w:p>
    <w:p>
      <w:pPr>
        <w:pStyle w:val="Compact"/>
        <w:numPr>
          <w:ilvl w:val="0"/>
          <w:numId w:val="1004"/>
        </w:numPr>
      </w:pPr>
      <w:r>
        <w:t xml:space="preserve">Broker overload protection activations and connection storms.</w:t>
      </w:r>
      <w:r>
        <w:t xml:space="preserve"> </w:t>
      </w:r>
      <w:hyperlink r:id="rId35">
        <w:r>
          <w:rPr>
            <w:rStyle w:val="Hyperlink"/>
          </w:rPr>
          <w:t xml:space="preserve">[19]</w:t>
        </w:r>
      </w:hyperlink>
    </w:p>
    <w:p>
      <w:pPr>
        <w:pStyle w:val="FirstParagraph"/>
      </w:pPr>
      <w:r>
        <w:t xml:space="preserve">The core trade-off is operational overhead: if you want the plant bus to be dependable in regulated use, you must fund and execute the assurance loop as a first-class operational function, not as “optional best effort.”</w:t>
      </w:r>
      <w:r>
        <w:t xml:space="preserve"> </w:t>
      </w:r>
      <w:hyperlink r:id="rId21">
        <w:r>
          <w:rPr>
            <w:rStyle w:val="Hyperlink"/>
          </w:rPr>
          <w:t xml:space="preserve">[41]</w:t>
        </w:r>
      </w:hyperlink>
    </w:p>
    <w:bookmarkEnd w:id="62"/>
    <w:bookmarkEnd w:id="63"/>
    <w:bookmarkEnd w:id="64"/>
    <w:p>
      <w:r>
        <w:pict>
          <v:rect style="width:0;height:1.5pt" o:hralign="center" o:hrstd="t" o:hr="t"/>
        </w:pict>
      </w:r>
    </w:p>
    <w:bookmarkStart w:id="65"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[7]</w:t>
        </w:r>
      </w:hyperlink>
      <w:r>
        <w:t xml:space="preserve"> </w:t>
      </w:r>
      <w:hyperlink r:id="rId21">
        <w:r>
          <w:rPr>
            <w:rStyle w:val="Hyperlink"/>
          </w:rPr>
          <w:t xml:space="preserve">[8]</w:t>
        </w:r>
      </w:hyperlink>
      <w:r>
        <w:t xml:space="preserve"> </w:t>
      </w:r>
      <w:hyperlink r:id="rId21">
        <w:r>
          <w:rPr>
            <w:rStyle w:val="Hyperlink"/>
          </w:rPr>
          <w:t xml:space="preserve">[9]</w:t>
        </w:r>
      </w:hyperlink>
      <w:r>
        <w:t xml:space="preserve"> </w:t>
      </w:r>
      <w:hyperlink r:id="rId21">
        <w:r>
          <w:rPr>
            <w:rStyle w:val="Hyperlink"/>
          </w:rPr>
          <w:t xml:space="preserve">[10]</w:t>
        </w:r>
      </w:hyperlink>
      <w:r>
        <w:t xml:space="preserve"> </w:t>
      </w:r>
      <w:hyperlink r:id="rId21">
        <w:r>
          <w:rPr>
            <w:rStyle w:val="Hyperlink"/>
          </w:rPr>
          <w:t xml:space="preserve">[11]</w:t>
        </w:r>
      </w:hyperlink>
      <w:r>
        <w:t xml:space="preserve"> </w:t>
      </w:r>
      <w:hyperlink r:id="rId21">
        <w:r>
          <w:rPr>
            <w:rStyle w:val="Hyperlink"/>
          </w:rPr>
          <w:t xml:space="preserve">[22]</w:t>
        </w:r>
      </w:hyperlink>
      <w:r>
        <w:t xml:space="preserve"> </w:t>
      </w:r>
      <w:hyperlink r:id="rId21">
        <w:r>
          <w:rPr>
            <w:rStyle w:val="Hyperlink"/>
          </w:rPr>
          <w:t xml:space="preserve">[26]</w:t>
        </w:r>
      </w:hyperlink>
      <w:r>
        <w:t xml:space="preserve"> </w:t>
      </w:r>
      <w:hyperlink r:id="rId21">
        <w:r>
          <w:rPr>
            <w:rStyle w:val="Hyperlink"/>
          </w:rPr>
          <w:t xml:space="preserve">[31]</w:t>
        </w:r>
      </w:hyperlink>
      <w:r>
        <w:t xml:space="preserve"> </w:t>
      </w:r>
      <w:hyperlink r:id="rId21">
        <w:r>
          <w:rPr>
            <w:rStyle w:val="Hyperlink"/>
          </w:rPr>
          <w:t xml:space="preserve">[32]</w:t>
        </w:r>
      </w:hyperlink>
      <w:r>
        <w:t xml:space="preserve"> </w:t>
      </w:r>
      <w:hyperlink r:id="rId21">
        <w:r>
          <w:rPr>
            <w:rStyle w:val="Hyperlink"/>
          </w:rPr>
          <w:t xml:space="preserve">[39]</w:t>
        </w:r>
      </w:hyperlink>
      <w:r>
        <w:t xml:space="preserve"> </w:t>
      </w:r>
      <w:hyperlink r:id="rId21">
        <w:r>
          <w:rPr>
            <w:rStyle w:val="Hyperlink"/>
          </w:rPr>
          <w:t xml:space="preserve">[40]</w:t>
        </w:r>
      </w:hyperlink>
      <w:r>
        <w:t xml:space="preserve"> </w:t>
      </w:r>
      <w:hyperlink r:id="rId21">
        <w:r>
          <w:rPr>
            <w:rStyle w:val="Hyperlink"/>
          </w:rPr>
          <w:t xml:space="preserve">[41]</w:t>
        </w:r>
      </w:hyperlink>
      <w:r>
        <w:t xml:space="preserve"> </w:t>
      </w:r>
      <w:r>
        <w:t xml:space="preserve">https://health.ec.europa.eu/system/files/2016-11/annex11_01-2011_en_0.pdf</w:t>
      </w:r>
    </w:p>
    <w:p>
      <w:pPr>
        <w:pStyle w:val="BodyText"/>
      </w:pPr>
      <w:hyperlink r:id="rId21">
        <w:r>
          <w:rPr>
            <w:rStyle w:val="Hyperlink"/>
          </w:rPr>
          <w:t xml:space="preserve">https://health.ec.europa.eu/system/files/2016-11/annex11_01-2011_en_0.pdf</w:t>
        </w:r>
      </w:hyperlink>
    </w:p>
    <w:p>
      <w:pPr>
        <w:pStyle w:val="BodyText"/>
      </w:pPr>
      <w:hyperlink r:id="rId22">
        <w:r>
          <w:rPr>
            <w:rStyle w:val="Hyperlink"/>
          </w:rPr>
          <w:t xml:space="preserve">[2]</w:t>
        </w:r>
      </w:hyperlink>
      <w:r>
        <w:t xml:space="preserve"> </w:t>
      </w:r>
      <w:hyperlink r:id="rId22">
        <w:r>
          <w:rPr>
            <w:rStyle w:val="Hyperlink"/>
          </w:rPr>
          <w:t xml:space="preserve">[15]</w:t>
        </w:r>
      </w:hyperlink>
      <w:r>
        <w:t xml:space="preserve"> </w:t>
      </w:r>
      <w:hyperlink r:id="rId22">
        <w:r>
          <w:rPr>
            <w:rStyle w:val="Hyperlink"/>
          </w:rPr>
          <w:t xml:space="preserve">[29]</w:t>
        </w:r>
      </w:hyperlink>
      <w:r>
        <w:t xml:space="preserve"> </w:t>
      </w:r>
      <w:hyperlink r:id="rId22">
        <w:r>
          <w:rPr>
            <w:rStyle w:val="Hyperlink"/>
          </w:rPr>
          <w:t xml:space="preserve">[30]</w:t>
        </w:r>
      </w:hyperlink>
      <w:r>
        <w:t xml:space="preserve"> </w:t>
      </w:r>
      <w:hyperlink r:id="rId22">
        <w:r>
          <w:rPr>
            <w:rStyle w:val="Hyperlink"/>
          </w:rPr>
          <w:t xml:space="preserve">[34]</w:t>
        </w:r>
      </w:hyperlink>
      <w:r>
        <w:t xml:space="preserve"> </w:t>
      </w:r>
      <w:hyperlink r:id="rId22">
        <w:r>
          <w:rPr>
            <w:rStyle w:val="Hyperlink"/>
          </w:rPr>
          <w:t xml:space="preserve">[35]</w:t>
        </w:r>
      </w:hyperlink>
      <w:r>
        <w:t xml:space="preserve"> </w:t>
      </w:r>
      <w:hyperlink r:id="rId22">
        <w:r>
          <w:rPr>
            <w:rStyle w:val="Hyperlink"/>
          </w:rPr>
          <w:t xml:space="preserve">[36]</w:t>
        </w:r>
      </w:hyperlink>
      <w:r>
        <w:t xml:space="preserve"> </w:t>
      </w:r>
      <w:hyperlink r:id="rId22">
        <w:r>
          <w:rPr>
            <w:rStyle w:val="Hyperlink"/>
          </w:rPr>
          <w:t xml:space="preserve">[38]</w:t>
        </w:r>
      </w:hyperlink>
      <w:r>
        <w:t xml:space="preserve"> </w:t>
      </w:r>
      <w:hyperlink r:id="rId22">
        <w:r>
          <w:rPr>
            <w:rStyle w:val="Hyperlink"/>
          </w:rPr>
          <w:t xml:space="preserve">[53]</w:t>
        </w:r>
      </w:hyperlink>
      <w:r>
        <w:t xml:space="preserve"> </w:t>
      </w:r>
      <w:r>
        <w:t xml:space="preserve">https://www.fda.gov/media/119267/download</w:t>
      </w:r>
    </w:p>
    <w:p>
      <w:pPr>
        <w:pStyle w:val="BodyText"/>
      </w:pPr>
      <w:hyperlink r:id="rId22">
        <w:r>
          <w:rPr>
            <w:rStyle w:val="Hyperlink"/>
          </w:rPr>
          <w:t xml:space="preserve">https://www.fda.gov/media/119267/download</w:t>
        </w:r>
      </w:hyperlink>
    </w:p>
    <w:p>
      <w:pPr>
        <w:pStyle w:val="BodyText"/>
      </w:pPr>
      <w:hyperlink r:id="rId23">
        <w:r>
          <w:rPr>
            <w:rStyle w:val="Hyperlink"/>
          </w:rPr>
          <w:t xml:space="preserve">[3]</w:t>
        </w:r>
      </w:hyperlink>
      <w:r>
        <w:t xml:space="preserve"> </w:t>
      </w:r>
      <w:hyperlink r:id="rId23">
        <w:r>
          <w:rPr>
            <w:rStyle w:val="Hyperlink"/>
          </w:rPr>
          <w:t xml:space="preserve">[48]</w:t>
        </w:r>
      </w:hyperlink>
      <w:r>
        <w:t xml:space="preserve"> </w:t>
      </w:r>
      <w:r>
        <w:t xml:space="preserve">21 CFR 11.10 -- Controls for closed systems.</w:t>
      </w:r>
    </w:p>
    <w:p>
      <w:pPr>
        <w:pStyle w:val="BodyText"/>
      </w:pPr>
      <w:hyperlink r:id="rId23">
        <w:r>
          <w:rPr>
            <w:rStyle w:val="Hyperlink"/>
          </w:rPr>
          <w:t xml:space="preserve">https://www.ecfr.gov/current/title-21/chapter-I/subchapter-A/part-11/subpart-B/section-11.10?utm_source=chatgpt.com</w:t>
        </w:r>
      </w:hyperlink>
    </w:p>
    <w:p>
      <w:pPr>
        <w:pStyle w:val="BodyText"/>
      </w:pPr>
      <w:hyperlink r:id="rId26">
        <w:r>
          <w:rPr>
            <w:rStyle w:val="Hyperlink"/>
          </w:rPr>
          <w:t xml:space="preserve">[5]</w:t>
        </w:r>
      </w:hyperlink>
      <w:r>
        <w:t xml:space="preserve"> </w:t>
      </w:r>
      <w:hyperlink r:id="rId26">
        <w:r>
          <w:rPr>
            <w:rStyle w:val="Hyperlink"/>
          </w:rPr>
          <w:t xml:space="preserve">[12]</w:t>
        </w:r>
      </w:hyperlink>
      <w:r>
        <w:t xml:space="preserve"> </w:t>
      </w:r>
      <w:hyperlink r:id="rId26">
        <w:r>
          <w:rPr>
            <w:rStyle w:val="Hyperlink"/>
          </w:rPr>
          <w:t xml:space="preserve">[42]</w:t>
        </w:r>
      </w:hyperlink>
      <w:r>
        <w:t xml:space="preserve"> </w:t>
      </w:r>
      <w:r>
        <w:t xml:space="preserve">https://nvlpubs.nist.gov/nistpubs/SpecialPublications/NIST.SP.800-82r3.pdf</w:t>
      </w:r>
    </w:p>
    <w:p>
      <w:pPr>
        <w:pStyle w:val="BodyText"/>
      </w:pPr>
      <w:hyperlink r:id="rId26">
        <w:r>
          <w:rPr>
            <w:rStyle w:val="Hyperlink"/>
          </w:rPr>
          <w:t xml:space="preserve">https://nvlpubs.nist.gov/nistpubs/SpecialPublications/NIST.SP.800-82r3.pdf</w:t>
        </w:r>
      </w:hyperlink>
    </w:p>
    <w:p>
      <w:pPr>
        <w:pStyle w:val="BodyText"/>
      </w:pPr>
      <w:hyperlink r:id="rId27">
        <w:r>
          <w:rPr>
            <w:rStyle w:val="Hyperlink"/>
          </w:rPr>
          <w:t xml:space="preserve">[6]</w:t>
        </w:r>
      </w:hyperlink>
      <w:r>
        <w:t xml:space="preserve"> </w:t>
      </w:r>
      <w:hyperlink r:id="rId27">
        <w:r>
          <w:rPr>
            <w:rStyle w:val="Hyperlink"/>
          </w:rPr>
          <w:t xml:space="preserve">[44]</w:t>
        </w:r>
      </w:hyperlink>
      <w:r>
        <w:t xml:space="preserve"> </w:t>
      </w:r>
      <w:hyperlink r:id="rId27">
        <w:r>
          <w:rPr>
            <w:rStyle w:val="Hyperlink"/>
          </w:rPr>
          <w:t xml:space="preserve">[45]</w:t>
        </w:r>
      </w:hyperlink>
      <w:r>
        <w:t xml:space="preserve"> </w:t>
      </w:r>
      <w:hyperlink r:id="rId27">
        <w:r>
          <w:rPr>
            <w:rStyle w:val="Hyperlink"/>
          </w:rPr>
          <w:t xml:space="preserve">[70]</w:t>
        </w:r>
      </w:hyperlink>
      <w:r>
        <w:t xml:space="preserve"> </w:t>
      </w:r>
      <w:hyperlink r:id="rId27">
        <w:r>
          <w:rPr>
            <w:rStyle w:val="Hyperlink"/>
          </w:rPr>
          <w:t xml:space="preserve">[72]</w:t>
        </w:r>
      </w:hyperlink>
      <w:r>
        <w:t xml:space="preserve"> </w:t>
      </w:r>
      <w:hyperlink r:id="rId27">
        <w:r>
          <w:rPr>
            <w:rStyle w:val="Hyperlink"/>
          </w:rPr>
          <w:t xml:space="preserve">[78]</w:t>
        </w:r>
      </w:hyperlink>
      <w:r>
        <w:t xml:space="preserve"> </w:t>
      </w:r>
      <w:r>
        <w:t xml:space="preserve">https://docs.hivemq.com/hivemq/latest/user-guide/security.html</w:t>
      </w:r>
    </w:p>
    <w:p>
      <w:pPr>
        <w:pStyle w:val="BodyText"/>
      </w:pPr>
      <w:hyperlink r:id="rId27">
        <w:r>
          <w:rPr>
            <w:rStyle w:val="Hyperlink"/>
          </w:rPr>
          <w:t xml:space="preserve">https://docs.hivemq.com/hivemq/latest/user-guide/security.html</w:t>
        </w:r>
      </w:hyperlink>
    </w:p>
    <w:p>
      <w:pPr>
        <w:pStyle w:val="BodyText"/>
      </w:pPr>
      <w:hyperlink r:id="rId30">
        <w:r>
          <w:rPr>
            <w:rStyle w:val="Hyperlink"/>
          </w:rPr>
          <w:t xml:space="preserve">[13]</w:t>
        </w:r>
      </w:hyperlink>
      <w:r>
        <w:t xml:space="preserve"> </w:t>
      </w:r>
      <w:hyperlink r:id="rId30">
        <w:r>
          <w:rPr>
            <w:rStyle w:val="Hyperlink"/>
          </w:rPr>
          <w:t xml:space="preserve">[46]</w:t>
        </w:r>
      </w:hyperlink>
      <w:r>
        <w:t xml:space="preserve"> </w:t>
      </w:r>
      <w:r>
        <w:t xml:space="preserve">https://docs.hivemq.com/hivemq/latest/extensions/authorization.html</w:t>
      </w:r>
    </w:p>
    <w:p>
      <w:pPr>
        <w:pStyle w:val="BodyText"/>
      </w:pPr>
      <w:hyperlink r:id="rId30">
        <w:r>
          <w:rPr>
            <w:rStyle w:val="Hyperlink"/>
          </w:rPr>
          <w:t xml:space="preserve">https://docs.hivemq.com/hivemq/latest/extensions/authorization.html</w:t>
        </w:r>
      </w:hyperlink>
    </w:p>
    <w:p>
      <w:pPr>
        <w:pStyle w:val="BodyText"/>
      </w:pPr>
      <w:hyperlink r:id="rId31">
        <w:r>
          <w:rPr>
            <w:rStyle w:val="Hyperlink"/>
          </w:rPr>
          <w:t xml:space="preserve">[14]</w:t>
        </w:r>
      </w:hyperlink>
      <w:r>
        <w:t xml:space="preserve"> </w:t>
      </w:r>
      <w:hyperlink r:id="rId31">
        <w:r>
          <w:rPr>
            <w:rStyle w:val="Hyperlink"/>
          </w:rPr>
          <w:t xml:space="preserve">[73]</w:t>
        </w:r>
      </w:hyperlink>
      <w:r>
        <w:t xml:space="preserve"> </w:t>
      </w:r>
      <w:r>
        <w:t xml:space="preserve">https://docs.hivemq.com/hivemq/latest/control-center/configuration.html</w:t>
      </w:r>
    </w:p>
    <w:p>
      <w:pPr>
        <w:pStyle w:val="BodyText"/>
      </w:pPr>
      <w:hyperlink r:id="rId31">
        <w:r>
          <w:rPr>
            <w:rStyle w:val="Hyperlink"/>
          </w:rPr>
          <w:t xml:space="preserve">https://docs.hivemq.com/hivemq/latest/control-center/configuration.html</w:t>
        </w:r>
      </w:hyperlink>
    </w:p>
    <w:p>
      <w:pPr>
        <w:pStyle w:val="BodyText"/>
      </w:pPr>
      <w:hyperlink r:id="rId32">
        <w:r>
          <w:rPr>
            <w:rStyle w:val="Hyperlink"/>
          </w:rPr>
          <w:t xml:space="preserve">[16]</w:t>
        </w:r>
      </w:hyperlink>
      <w:r>
        <w:t xml:space="preserve"> </w:t>
      </w:r>
      <w:hyperlink r:id="rId32">
        <w:r>
          <w:rPr>
            <w:rStyle w:val="Hyperlink"/>
          </w:rPr>
          <w:t xml:space="preserve">[20]</w:t>
        </w:r>
      </w:hyperlink>
      <w:r>
        <w:t xml:space="preserve"> </w:t>
      </w:r>
      <w:hyperlink r:id="rId32">
        <w:r>
          <w:rPr>
            <w:rStyle w:val="Hyperlink"/>
          </w:rPr>
          <w:t xml:space="preserve">[77]</w:t>
        </w:r>
      </w:hyperlink>
      <w:r>
        <w:t xml:space="preserve"> </w:t>
      </w:r>
      <w:r>
        <w:t xml:space="preserve">Redundancy Architecture - Ignition User Manual</w:t>
      </w:r>
    </w:p>
    <w:p>
      <w:pPr>
        <w:pStyle w:val="BodyText"/>
      </w:pPr>
      <w:hyperlink r:id="rId32">
        <w:r>
          <w:rPr>
            <w:rStyle w:val="Hyperlink"/>
          </w:rPr>
          <w:t xml:space="preserve">https://www.docs.inductiveautomation.com/docs/8.1/system-architectures/redundancy-architecture?utm_source=chatgpt.com</w:t>
        </w:r>
      </w:hyperlink>
    </w:p>
    <w:p>
      <w:pPr>
        <w:pStyle w:val="BodyText"/>
      </w:pPr>
      <w:hyperlink r:id="rId33">
        <w:r>
          <w:rPr>
            <w:rStyle w:val="Hyperlink"/>
          </w:rPr>
          <w:t xml:space="preserve">[17]</w:t>
        </w:r>
      </w:hyperlink>
      <w:r>
        <w:t xml:space="preserve"> </w:t>
      </w:r>
      <w:hyperlink r:id="rId33">
        <w:r>
          <w:rPr>
            <w:rStyle w:val="Hyperlink"/>
          </w:rPr>
          <w:t xml:space="preserve">[69]</w:t>
        </w:r>
      </w:hyperlink>
      <w:r>
        <w:t xml:space="preserve"> </w:t>
      </w:r>
      <w:r>
        <w:t xml:space="preserve">High Availability | User Guide</w:t>
      </w:r>
    </w:p>
    <w:p>
      <w:pPr>
        <w:pStyle w:val="BodyText"/>
      </w:pPr>
      <w:hyperlink r:id="rId33">
        <w:r>
          <w:rPr>
            <w:rStyle w:val="Hyperlink"/>
          </w:rPr>
          <w:t xml:space="preserve">https://guide.highbyte.com/setup/high_availability/?utm_source=chatgpt.com</w:t>
        </w:r>
      </w:hyperlink>
    </w:p>
    <w:p>
      <w:pPr>
        <w:pStyle w:val="BodyText"/>
      </w:pPr>
      <w:hyperlink r:id="rId34">
        <w:r>
          <w:rPr>
            <w:rStyle w:val="Hyperlink"/>
          </w:rPr>
          <w:t xml:space="preserve">[18]</w:t>
        </w:r>
      </w:hyperlink>
      <w:r>
        <w:t xml:space="preserve"> </w:t>
      </w:r>
      <w:hyperlink r:id="rId34">
        <w:r>
          <w:rPr>
            <w:rStyle w:val="Hyperlink"/>
          </w:rPr>
          <w:t xml:space="preserve">[74]</w:t>
        </w:r>
      </w:hyperlink>
      <w:r>
        <w:t xml:space="preserve"> </w:t>
      </w:r>
      <w:r>
        <w:t xml:space="preserve">HiveMQ MQTT Broker Clusters</w:t>
      </w:r>
    </w:p>
    <w:p>
      <w:pPr>
        <w:pStyle w:val="BodyText"/>
      </w:pPr>
      <w:hyperlink r:id="rId34">
        <w:r>
          <w:rPr>
            <w:rStyle w:val="Hyperlink"/>
          </w:rPr>
          <w:t xml:space="preserve">https://docs.hivemq.com/hivemq/latest/user-guide/cluster.html?utm_source=chatgpt.com</w:t>
        </w:r>
      </w:hyperlink>
    </w:p>
    <w:p>
      <w:pPr>
        <w:pStyle w:val="BodyText"/>
      </w:pPr>
      <w:hyperlink r:id="rId35">
        <w:r>
          <w:rPr>
            <w:rStyle w:val="Hyperlink"/>
          </w:rPr>
          <w:t xml:space="preserve">[19]</w:t>
        </w:r>
      </w:hyperlink>
      <w:r>
        <w:t xml:space="preserve"> </w:t>
      </w:r>
      <w:r>
        <w:t xml:space="preserve">https://docs.hivemq.com/hivemq/latest/user-guide/overload-protection.html</w:t>
      </w:r>
    </w:p>
    <w:p>
      <w:pPr>
        <w:pStyle w:val="BodyText"/>
      </w:pPr>
      <w:hyperlink r:id="rId35">
        <w:r>
          <w:rPr>
            <w:rStyle w:val="Hyperlink"/>
          </w:rPr>
          <w:t xml:space="preserve">https://docs.hivemq.com/hivemq/latest/user-guide/overload-protection.html</w:t>
        </w:r>
      </w:hyperlink>
    </w:p>
    <w:p>
      <w:pPr>
        <w:pStyle w:val="BodyText"/>
      </w:pPr>
      <w:hyperlink r:id="rId36">
        <w:r>
          <w:rPr>
            <w:rStyle w:val="Hyperlink"/>
          </w:rPr>
          <w:t xml:space="preserve">[21]</w:t>
        </w:r>
      </w:hyperlink>
      <w:r>
        <w:t xml:space="preserve"> </w:t>
      </w:r>
      <w:hyperlink r:id="rId36">
        <w:r>
          <w:rPr>
            <w:rStyle w:val="Hyperlink"/>
          </w:rPr>
          <w:t xml:space="preserve">[43]</w:t>
        </w:r>
      </w:hyperlink>
      <w:r>
        <w:t xml:space="preserve"> </w:t>
      </w:r>
      <w:hyperlink r:id="rId36">
        <w:r>
          <w:rPr>
            <w:rStyle w:val="Hyperlink"/>
          </w:rPr>
          <w:t xml:space="preserve">[50]</w:t>
        </w:r>
      </w:hyperlink>
      <w:r>
        <w:t xml:space="preserve"> </w:t>
      </w:r>
      <w:hyperlink r:id="rId36">
        <w:r>
          <w:rPr>
            <w:rStyle w:val="Hyperlink"/>
          </w:rPr>
          <w:t xml:space="preserve">[51]</w:t>
        </w:r>
      </w:hyperlink>
      <w:r>
        <w:t xml:space="preserve"> </w:t>
      </w:r>
      <w:hyperlink r:id="rId36">
        <w:r>
          <w:rPr>
            <w:rStyle w:val="Hyperlink"/>
          </w:rPr>
          <w:t xml:space="preserve">[52]</w:t>
        </w:r>
      </w:hyperlink>
      <w:r>
        <w:t xml:space="preserve"> </w:t>
      </w:r>
      <w:hyperlink r:id="rId36">
        <w:r>
          <w:rPr>
            <w:rStyle w:val="Hyperlink"/>
          </w:rPr>
          <w:t xml:space="preserve">[54]</w:t>
        </w:r>
      </w:hyperlink>
      <w:r>
        <w:t xml:space="preserve"> </w:t>
      </w:r>
      <w:r>
        <w:t xml:space="preserve">Monitoring</w:t>
      </w:r>
    </w:p>
    <w:p>
      <w:pPr>
        <w:pStyle w:val="BodyText"/>
      </w:pPr>
      <w:hyperlink r:id="rId36">
        <w:r>
          <w:rPr>
            <w:rStyle w:val="Hyperlink"/>
          </w:rPr>
          <w:t xml:space="preserve">https://docs.hivemq.com/hivemq/latest/user-guide/monitoring.html?utm_source=chatgpt.com</w:t>
        </w:r>
      </w:hyperlink>
    </w:p>
    <w:p>
      <w:pPr>
        <w:pStyle w:val="BodyText"/>
      </w:pPr>
      <w:hyperlink r:id="rId37">
        <w:r>
          <w:rPr>
            <w:rStyle w:val="Hyperlink"/>
          </w:rPr>
          <w:t xml:space="preserve">[23]</w:t>
        </w:r>
      </w:hyperlink>
      <w:r>
        <w:t xml:space="preserve"> </w:t>
      </w:r>
      <w:hyperlink r:id="rId37">
        <w:r>
          <w:rPr>
            <w:rStyle w:val="Hyperlink"/>
          </w:rPr>
          <w:t xml:space="preserve">[56]</w:t>
        </w:r>
      </w:hyperlink>
      <w:r>
        <w:t xml:space="preserve"> </w:t>
      </w:r>
      <w:r>
        <w:t xml:space="preserve">https://assets.inductiveautomation.com/s3fs-production/test_folder/Ignition%20Security%20Hardening%20Guide%208.1_0.pdf</w:t>
      </w:r>
    </w:p>
    <w:p>
      <w:pPr>
        <w:pStyle w:val="BodyText"/>
      </w:pPr>
      <w:hyperlink r:id="rId37">
        <w:r>
          <w:rPr>
            <w:rStyle w:val="Hyperlink"/>
          </w:rPr>
          <w:t xml:space="preserve">https://assets.inductiveautomation.com/s3fs-production/test_folder/Ignition%20Security%20Hardening%20Guide%208.1_0.pdf</w:t>
        </w:r>
      </w:hyperlink>
    </w:p>
    <w:p>
      <w:pPr>
        <w:pStyle w:val="BodyText"/>
      </w:pPr>
      <w:hyperlink r:id="rId38">
        <w:r>
          <w:rPr>
            <w:rStyle w:val="Hyperlink"/>
          </w:rPr>
          <w:t xml:space="preserve">[24]</w:t>
        </w:r>
      </w:hyperlink>
      <w:r>
        <w:t xml:space="preserve"> </w:t>
      </w:r>
      <w:hyperlink r:id="rId38">
        <w:r>
          <w:rPr>
            <w:rStyle w:val="Hyperlink"/>
          </w:rPr>
          <w:t xml:space="preserve">[57]</w:t>
        </w:r>
      </w:hyperlink>
      <w:r>
        <w:t xml:space="preserve"> </w:t>
      </w:r>
      <w:r>
        <w:t xml:space="preserve">https://www.docs.inductiveautomation.com/docs/8.1/platform/security/identity-provider-authentication-strategy</w:t>
      </w:r>
    </w:p>
    <w:p>
      <w:pPr>
        <w:pStyle w:val="BodyText"/>
      </w:pPr>
      <w:hyperlink r:id="rId38">
        <w:r>
          <w:rPr>
            <w:rStyle w:val="Hyperlink"/>
          </w:rPr>
          <w:t xml:space="preserve">https://www.docs.inductiveautomation.com/docs/8.1/platform/security/identity-provider-authentication-strategy</w:t>
        </w:r>
      </w:hyperlink>
    </w:p>
    <w:p>
      <w:pPr>
        <w:pStyle w:val="BodyText"/>
      </w:pPr>
      <w:hyperlink r:id="rId39">
        <w:r>
          <w:rPr>
            <w:rStyle w:val="Hyperlink"/>
          </w:rPr>
          <w:t xml:space="preserve">[25]</w:t>
        </w:r>
      </w:hyperlink>
      <w:r>
        <w:t xml:space="preserve"> </w:t>
      </w:r>
      <w:hyperlink r:id="rId39">
        <w:r>
          <w:rPr>
            <w:rStyle w:val="Hyperlink"/>
          </w:rPr>
          <w:t xml:space="preserve">[33]</w:t>
        </w:r>
      </w:hyperlink>
      <w:r>
        <w:t xml:space="preserve"> </w:t>
      </w:r>
      <w:hyperlink r:id="rId39">
        <w:r>
          <w:rPr>
            <w:rStyle w:val="Hyperlink"/>
          </w:rPr>
          <w:t xml:space="preserve">[59]</w:t>
        </w:r>
      </w:hyperlink>
      <w:r>
        <w:t xml:space="preserve"> </w:t>
      </w:r>
      <w:r>
        <w:t xml:space="preserve">Audit Log and Profiles | Ignition User Manual</w:t>
      </w:r>
    </w:p>
    <w:p>
      <w:pPr>
        <w:pStyle w:val="BodyText"/>
      </w:pPr>
      <w:hyperlink r:id="rId39">
        <w:r>
          <w:rPr>
            <w:rStyle w:val="Hyperlink"/>
          </w:rPr>
          <w:t xml:space="preserve">https://www.docs.inductiveautomation.com/docs/8.1/platform/audit-log-and-profiles?utm_source=chatgpt.com</w:t>
        </w:r>
      </w:hyperlink>
    </w:p>
    <w:p>
      <w:pPr>
        <w:pStyle w:val="BodyText"/>
      </w:pPr>
      <w:hyperlink r:id="rId40">
        <w:r>
          <w:rPr>
            <w:rStyle w:val="Hyperlink"/>
          </w:rPr>
          <w:t xml:space="preserve">[27]</w:t>
        </w:r>
      </w:hyperlink>
      <w:r>
        <w:t xml:space="preserve"> </w:t>
      </w:r>
      <w:hyperlink r:id="rId40">
        <w:r>
          <w:rPr>
            <w:rStyle w:val="Hyperlink"/>
          </w:rPr>
          <w:t xml:space="preserve">[28]</w:t>
        </w:r>
      </w:hyperlink>
      <w:r>
        <w:t xml:space="preserve"> </w:t>
      </w:r>
      <w:hyperlink r:id="rId40">
        <w:r>
          <w:rPr>
            <w:rStyle w:val="Hyperlink"/>
          </w:rPr>
          <w:t xml:space="preserve">[37]</w:t>
        </w:r>
      </w:hyperlink>
      <w:r>
        <w:t xml:space="preserve"> </w:t>
      </w:r>
      <w:r>
        <w:t xml:space="preserve">21 CFR 211.188 -- Batch production and control records.</w:t>
      </w:r>
    </w:p>
    <w:p>
      <w:pPr>
        <w:pStyle w:val="BodyText"/>
      </w:pPr>
      <w:hyperlink r:id="rId40">
        <w:r>
          <w:rPr>
            <w:rStyle w:val="Hyperlink"/>
          </w:rPr>
          <w:t xml:space="preserve">https://www.ecfr.gov/current/title-21/chapter-I/subchapter-C/part-211/subpart-J/section-211.188?utm_source=chatgpt.com</w:t>
        </w:r>
      </w:hyperlink>
    </w:p>
    <w:p>
      <w:pPr>
        <w:pStyle w:val="BodyText"/>
      </w:pPr>
      <w:hyperlink r:id="rId41">
        <w:r>
          <w:rPr>
            <w:rStyle w:val="Hyperlink"/>
          </w:rPr>
          <w:t xml:space="preserve">[47]</w:t>
        </w:r>
      </w:hyperlink>
      <w:r>
        <w:t xml:space="preserve"> </w:t>
      </w:r>
      <w:r>
        <w:t xml:space="preserve">https://docs.hivemq.com/hivemq/latest/user-guide/restrictions.html</w:t>
      </w:r>
    </w:p>
    <w:p>
      <w:pPr>
        <w:pStyle w:val="BodyText"/>
      </w:pPr>
      <w:hyperlink r:id="rId41">
        <w:r>
          <w:rPr>
            <w:rStyle w:val="Hyperlink"/>
          </w:rPr>
          <w:t xml:space="preserve">https://docs.hivemq.com/hivemq/latest/user-guide/restrictions.html</w:t>
        </w:r>
      </w:hyperlink>
    </w:p>
    <w:p>
      <w:pPr>
        <w:pStyle w:val="BodyText"/>
      </w:pPr>
      <w:hyperlink r:id="rId42">
        <w:r>
          <w:rPr>
            <w:rStyle w:val="Hyperlink"/>
          </w:rPr>
          <w:t xml:space="preserve">[49]</w:t>
        </w:r>
      </w:hyperlink>
      <w:r>
        <w:t xml:space="preserve"> </w:t>
      </w:r>
      <w:r>
        <w:t xml:space="preserve">https://guide.highbyte.com/setup/git/</w:t>
      </w:r>
    </w:p>
    <w:p>
      <w:pPr>
        <w:pStyle w:val="BodyText"/>
      </w:pPr>
      <w:hyperlink r:id="rId42">
        <w:r>
          <w:rPr>
            <w:rStyle w:val="Hyperlink"/>
          </w:rPr>
          <w:t xml:space="preserve">https://guide.highbyte.com/setup/git/</w:t>
        </w:r>
      </w:hyperlink>
    </w:p>
    <w:p>
      <w:pPr>
        <w:pStyle w:val="BodyText"/>
      </w:pPr>
      <w:hyperlink r:id="rId43">
        <w:r>
          <w:rPr>
            <w:rStyle w:val="Hyperlink"/>
          </w:rPr>
          <w:t xml:space="preserve">[55]</w:t>
        </w:r>
      </w:hyperlink>
      <w:r>
        <w:t xml:space="preserve"> </w:t>
      </w:r>
      <w:hyperlink r:id="rId43">
        <w:r>
          <w:rPr>
            <w:rStyle w:val="Hyperlink"/>
          </w:rPr>
          <w:t xml:space="preserve">[75]</w:t>
        </w:r>
      </w:hyperlink>
      <w:r>
        <w:t xml:space="preserve"> </w:t>
      </w:r>
      <w:r>
        <w:t xml:space="preserve">HiveMQ Backup and Restore</w:t>
      </w:r>
    </w:p>
    <w:p>
      <w:pPr>
        <w:pStyle w:val="BodyText"/>
      </w:pPr>
      <w:hyperlink r:id="rId43">
        <w:r>
          <w:rPr>
            <w:rStyle w:val="Hyperlink"/>
          </w:rPr>
          <w:t xml:space="preserve">https://docs.hivemq.com/hivemq/latest/user-guide/backup-restore.html?utm_source=chatgpt.com</w:t>
        </w:r>
      </w:hyperlink>
    </w:p>
    <w:p>
      <w:pPr>
        <w:pStyle w:val="BodyText"/>
      </w:pPr>
      <w:hyperlink r:id="rId45">
        <w:r>
          <w:rPr>
            <w:rStyle w:val="Hyperlink"/>
          </w:rPr>
          <w:t xml:space="preserve">[58]</w:t>
        </w:r>
      </w:hyperlink>
      <w:r>
        <w:t xml:space="preserve"> </w:t>
      </w:r>
      <w:r>
        <w:t xml:space="preserve">https://www.docs.inductiveautomation.com/docs/8.1/platform/security/security-zones</w:t>
      </w:r>
    </w:p>
    <w:p>
      <w:pPr>
        <w:pStyle w:val="BodyText"/>
      </w:pPr>
      <w:hyperlink r:id="rId45">
        <w:r>
          <w:rPr>
            <w:rStyle w:val="Hyperlink"/>
          </w:rPr>
          <w:t xml:space="preserve">https://www.docs.inductiveautomation.com/docs/8.1/platform/security/security-zones</w:t>
        </w:r>
      </w:hyperlink>
    </w:p>
    <w:p>
      <w:pPr>
        <w:pStyle w:val="BodyText"/>
      </w:pPr>
      <w:hyperlink r:id="rId46">
        <w:r>
          <w:rPr>
            <w:rStyle w:val="Hyperlink"/>
          </w:rPr>
          <w:t xml:space="preserve">[60]</w:t>
        </w:r>
      </w:hyperlink>
      <w:r>
        <w:t xml:space="preserve"> </w:t>
      </w:r>
      <w:r>
        <w:t xml:space="preserve">Ignition Redundancy - Ignition User Manual</w:t>
      </w:r>
    </w:p>
    <w:p>
      <w:pPr>
        <w:pStyle w:val="BodyText"/>
      </w:pPr>
      <w:hyperlink r:id="rId46">
        <w:r>
          <w:rPr>
            <w:rStyle w:val="Hyperlink"/>
          </w:rPr>
          <w:t xml:space="preserve">https://www.docs.inductiveautomation.com/docs/8.1/platform/ignition-redundancy?utm_source=chatgpt.com</w:t>
        </w:r>
      </w:hyperlink>
    </w:p>
    <w:p>
      <w:pPr>
        <w:pStyle w:val="BodyText"/>
      </w:pPr>
      <w:hyperlink r:id="rId47">
        <w:r>
          <w:rPr>
            <w:rStyle w:val="Hyperlink"/>
          </w:rPr>
          <w:t xml:space="preserve">[61]</w:t>
        </w:r>
      </w:hyperlink>
      <w:r>
        <w:t xml:space="preserve"> </w:t>
      </w:r>
      <w:r>
        <w:t xml:space="preserve">https://www.docs.inductiveautomation.com/docs/8.1/appendix/reference-pages/gateway-port-reference</w:t>
      </w:r>
    </w:p>
    <w:p>
      <w:pPr>
        <w:pStyle w:val="BodyText"/>
      </w:pPr>
      <w:hyperlink r:id="rId47">
        <w:r>
          <w:rPr>
            <w:rStyle w:val="Hyperlink"/>
          </w:rPr>
          <w:t xml:space="preserve">https://www.docs.inductiveautomation.com/docs/8.1/appendix/reference-pages/gateway-port-reference</w:t>
        </w:r>
      </w:hyperlink>
    </w:p>
    <w:p>
      <w:pPr>
        <w:pStyle w:val="BodyText"/>
      </w:pPr>
      <w:hyperlink r:id="rId48">
        <w:r>
          <w:rPr>
            <w:rStyle w:val="Hyperlink"/>
          </w:rPr>
          <w:t xml:space="preserve">[62]</w:t>
        </w:r>
      </w:hyperlink>
      <w:r>
        <w:t xml:space="preserve"> </w:t>
      </w:r>
      <w:r>
        <w:t xml:space="preserve">https://www.docs.inductiveautomation.com/docs/8.1/platform/gateway-network/gateway-network-certificates-and-ssl</w:t>
      </w:r>
    </w:p>
    <w:p>
      <w:pPr>
        <w:pStyle w:val="BodyText"/>
      </w:pPr>
      <w:hyperlink r:id="rId48">
        <w:r>
          <w:rPr>
            <w:rStyle w:val="Hyperlink"/>
          </w:rPr>
          <w:t xml:space="preserve">https://www.docs.inductiveautomation.com/docs/8.1/platform/gateway-network/gateway-network-certificates-and-ssl</w:t>
        </w:r>
      </w:hyperlink>
    </w:p>
    <w:p>
      <w:pPr>
        <w:pStyle w:val="BodyText"/>
      </w:pPr>
      <w:hyperlink r:id="rId50">
        <w:r>
          <w:rPr>
            <w:rStyle w:val="Hyperlink"/>
          </w:rPr>
          <w:t xml:space="preserve">[63]</w:t>
        </w:r>
      </w:hyperlink>
      <w:r>
        <w:t xml:space="preserve"> </w:t>
      </w:r>
      <w:r>
        <w:t xml:space="preserve">Configuration | User Guide - HighByte</w:t>
      </w:r>
    </w:p>
    <w:p>
      <w:pPr>
        <w:pStyle w:val="BodyText"/>
      </w:pPr>
      <w:hyperlink r:id="rId50">
        <w:r>
          <w:rPr>
            <w:rStyle w:val="Hyperlink"/>
          </w:rPr>
          <w:t xml:space="preserve">https://guide.highbyte.com/configuration/?utm_source=chatgpt.com</w:t>
        </w:r>
      </w:hyperlink>
    </w:p>
    <w:p>
      <w:pPr>
        <w:pStyle w:val="BodyText"/>
      </w:pPr>
      <w:hyperlink r:id="rId51">
        <w:r>
          <w:rPr>
            <w:rStyle w:val="Hyperlink"/>
          </w:rPr>
          <w:t xml:space="preserve">[64]</w:t>
        </w:r>
      </w:hyperlink>
      <w:r>
        <w:t xml:space="preserve"> </w:t>
      </w:r>
      <w:r>
        <w:t xml:space="preserve">https://guide.highbyte.com/configuration/administration/users_and_roles/</w:t>
      </w:r>
    </w:p>
    <w:p>
      <w:pPr>
        <w:pStyle w:val="BodyText"/>
      </w:pPr>
      <w:hyperlink r:id="rId51">
        <w:r>
          <w:rPr>
            <w:rStyle w:val="Hyperlink"/>
          </w:rPr>
          <w:t xml:space="preserve">https://guide.highbyte.com/configuration/administration/users_and_roles/</w:t>
        </w:r>
      </w:hyperlink>
    </w:p>
    <w:p>
      <w:pPr>
        <w:pStyle w:val="BodyText"/>
      </w:pPr>
      <w:hyperlink r:id="rId52">
        <w:r>
          <w:rPr>
            <w:rStyle w:val="Hyperlink"/>
          </w:rPr>
          <w:t xml:space="preserve">[65]</w:t>
        </w:r>
      </w:hyperlink>
      <w:r>
        <w:t xml:space="preserve"> </w:t>
      </w:r>
      <w:r>
        <w:t xml:space="preserve">https://guide.highbyte.com/configuration/administration/certificates/</w:t>
      </w:r>
    </w:p>
    <w:p>
      <w:pPr>
        <w:pStyle w:val="BodyText"/>
      </w:pPr>
      <w:hyperlink r:id="rId52">
        <w:r>
          <w:rPr>
            <w:rStyle w:val="Hyperlink"/>
          </w:rPr>
          <w:t xml:space="preserve">https://guide.highbyte.com/configuration/administration/certificates/</w:t>
        </w:r>
      </w:hyperlink>
    </w:p>
    <w:p>
      <w:pPr>
        <w:pStyle w:val="BodyText"/>
      </w:pPr>
      <w:hyperlink r:id="rId53">
        <w:r>
          <w:rPr>
            <w:rStyle w:val="Hyperlink"/>
          </w:rPr>
          <w:t xml:space="preserve">[66]</w:t>
        </w:r>
      </w:hyperlink>
      <w:r>
        <w:t xml:space="preserve"> </w:t>
      </w:r>
      <w:r>
        <w:t xml:space="preserve">https://guide.highbyte.com/configuration/administration/secrets/</w:t>
      </w:r>
    </w:p>
    <w:p>
      <w:pPr>
        <w:pStyle w:val="BodyText"/>
      </w:pPr>
      <w:hyperlink r:id="rId53">
        <w:r>
          <w:rPr>
            <w:rStyle w:val="Hyperlink"/>
          </w:rPr>
          <w:t xml:space="preserve">https://guide.highbyte.com/configuration/administration/secrets/</w:t>
        </w:r>
      </w:hyperlink>
    </w:p>
    <w:p>
      <w:pPr>
        <w:pStyle w:val="BodyText"/>
      </w:pPr>
      <w:hyperlink r:id="rId54">
        <w:r>
          <w:rPr>
            <w:rStyle w:val="Hyperlink"/>
          </w:rPr>
          <w:t xml:space="preserve">[67]</w:t>
        </w:r>
      </w:hyperlink>
      <w:r>
        <w:t xml:space="preserve"> </w:t>
      </w:r>
      <w:r>
        <w:t xml:space="preserve">https://guide.highbyte.com/configuration/servers/restdata/</w:t>
      </w:r>
    </w:p>
    <w:p>
      <w:pPr>
        <w:pStyle w:val="BodyText"/>
      </w:pPr>
      <w:hyperlink r:id="rId54">
        <w:r>
          <w:rPr>
            <w:rStyle w:val="Hyperlink"/>
          </w:rPr>
          <w:t xml:space="preserve">https://guide.highbyte.com/configuration/servers/restdata/</w:t>
        </w:r>
      </w:hyperlink>
    </w:p>
    <w:p>
      <w:pPr>
        <w:pStyle w:val="BodyText"/>
      </w:pPr>
      <w:hyperlink r:id="rId55">
        <w:r>
          <w:rPr>
            <w:rStyle w:val="Hyperlink"/>
          </w:rPr>
          <w:t xml:space="preserve">[68]</w:t>
        </w:r>
      </w:hyperlink>
      <w:r>
        <w:t xml:space="preserve"> </w:t>
      </w:r>
      <w:hyperlink r:id="rId55">
        <w:r>
          <w:rPr>
            <w:rStyle w:val="Hyperlink"/>
          </w:rPr>
          <w:t xml:space="preserve">[80]</w:t>
        </w:r>
      </w:hyperlink>
      <w:r>
        <w:t xml:space="preserve"> </w:t>
      </w:r>
      <w:r>
        <w:t xml:space="preserve">Connect - User Guide - HighByte</w:t>
      </w:r>
    </w:p>
    <w:p>
      <w:pPr>
        <w:pStyle w:val="BodyText"/>
      </w:pPr>
      <w:hyperlink r:id="rId55">
        <w:r>
          <w:rPr>
            <w:rStyle w:val="Hyperlink"/>
          </w:rPr>
          <w:t xml:space="preserve">https://guide.highbyte.com/configuration/connect/?utm_source=chatgpt.com</w:t>
        </w:r>
      </w:hyperlink>
    </w:p>
    <w:p>
      <w:pPr>
        <w:pStyle w:val="BodyText"/>
      </w:pPr>
      <w:hyperlink r:id="rId57">
        <w:r>
          <w:rPr>
            <w:rStyle w:val="Hyperlink"/>
          </w:rPr>
          <w:t xml:space="preserve">[71]</w:t>
        </w:r>
      </w:hyperlink>
      <w:r>
        <w:t xml:space="preserve"> </w:t>
      </w:r>
      <w:r>
        <w:t xml:space="preserve">https://docs.hivemq.com/hivemq/latest/user-guide/howtos.html</w:t>
      </w:r>
    </w:p>
    <w:p>
      <w:pPr>
        <w:pStyle w:val="BodyText"/>
      </w:pPr>
      <w:hyperlink r:id="rId57">
        <w:r>
          <w:rPr>
            <w:rStyle w:val="Hyperlink"/>
          </w:rPr>
          <w:t xml:space="preserve">https://docs.hivemq.com/hivemq/latest/user-guide/howtos.html</w:t>
        </w:r>
      </w:hyperlink>
    </w:p>
    <w:p>
      <w:pPr>
        <w:pStyle w:val="BodyText"/>
      </w:pPr>
      <w:hyperlink r:id="rId60">
        <w:r>
          <w:rPr>
            <w:rStyle w:val="Hyperlink"/>
          </w:rPr>
          <w:t xml:space="preserve">[76]</w:t>
        </w:r>
      </w:hyperlink>
      <w:r>
        <w:t xml:space="preserve"> </w:t>
      </w:r>
      <w:r>
        <w:t xml:space="preserve">21 CFR 211.68 -- Automatic, mechanical, and electronic ...</w:t>
      </w:r>
    </w:p>
    <w:p>
      <w:pPr>
        <w:pStyle w:val="BodyText"/>
      </w:pPr>
      <w:hyperlink r:id="rId60">
        <w:r>
          <w:rPr>
            <w:rStyle w:val="Hyperlink"/>
          </w:rPr>
          <w:t xml:space="preserve">https://www.ecfr.gov/current/title-21/chapter-I/subchapter-C/part-211/subpart-D/section-211.68?utm_source=chatgpt.com</w:t>
        </w:r>
      </w:hyperlink>
    </w:p>
    <w:p>
      <w:pPr>
        <w:pStyle w:val="BodyText"/>
      </w:pPr>
      <w:hyperlink r:id="rId61">
        <w:r>
          <w:rPr>
            <w:rStyle w:val="Hyperlink"/>
          </w:rPr>
          <w:t xml:space="preserve">[79]</w:t>
        </w:r>
      </w:hyperlink>
      <w:r>
        <w:t xml:space="preserve"> </w:t>
      </w:r>
      <w:r>
        <w:t xml:space="preserve">https://github.com/hivemq/hivemq-file-rbac-extension</w:t>
      </w:r>
    </w:p>
    <w:p>
      <w:pPr>
        <w:pStyle w:val="BodyText"/>
      </w:pPr>
      <w:hyperlink r:id="rId61">
        <w:r>
          <w:rPr>
            <w:rStyle w:val="Hyperlink"/>
          </w:rPr>
          <w:t xml:space="preserve">https://github.com/hivemq/hivemq-file-rbac-extension</w:t>
        </w:r>
      </w:hyperlink>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assets.inductiveautomation.com/s3fs-production/test_folder/Ignition%20Security%20Hardening%20Guide%208.1_0.pdf" TargetMode="External" /><Relationship Type="http://schemas.openxmlformats.org/officeDocument/2006/relationships/hyperlink" Id="rId31" Target="https://docs.hivemq.com/hivemq/latest/control-center/configuration.html" TargetMode="External" /><Relationship Type="http://schemas.openxmlformats.org/officeDocument/2006/relationships/hyperlink" Id="rId30" Target="https://docs.hivemq.com/hivemq/latest/extensions/authorization.html" TargetMode="External" /><Relationship Type="http://schemas.openxmlformats.org/officeDocument/2006/relationships/hyperlink" Id="rId43" Target="https://docs.hivemq.com/hivemq/latest/user-guide/backup-restore.html?utm_source=chatgpt.com" TargetMode="External" /><Relationship Type="http://schemas.openxmlformats.org/officeDocument/2006/relationships/hyperlink" Id="rId34" Target="https://docs.hivemq.com/hivemq/latest/user-guide/cluster.html?utm_source=chatgpt.com" TargetMode="External" /><Relationship Type="http://schemas.openxmlformats.org/officeDocument/2006/relationships/hyperlink" Id="rId57" Target="https://docs.hivemq.com/hivemq/latest/user-guide/howtos.html" TargetMode="External" /><Relationship Type="http://schemas.openxmlformats.org/officeDocument/2006/relationships/hyperlink" Id="rId36" Target="https://docs.hivemq.com/hivemq/latest/user-guide/monitoring.html?utm_source=chatgpt.com" TargetMode="External" /><Relationship Type="http://schemas.openxmlformats.org/officeDocument/2006/relationships/hyperlink" Id="rId35" Target="https://docs.hivemq.com/hivemq/latest/user-guide/overload-protection.html" TargetMode="External" /><Relationship Type="http://schemas.openxmlformats.org/officeDocument/2006/relationships/hyperlink" Id="rId41" Target="https://docs.hivemq.com/hivemq/latest/user-guide/restrictions.html" TargetMode="External" /><Relationship Type="http://schemas.openxmlformats.org/officeDocument/2006/relationships/hyperlink" Id="rId27" Target="https://docs.hivemq.com/hivemq/latest/user-guide/security.html" TargetMode="External" /><Relationship Type="http://schemas.openxmlformats.org/officeDocument/2006/relationships/hyperlink" Id="rId61" Target="https://github.com/hivemq/hivemq-file-rbac-extension" TargetMode="External" /><Relationship Type="http://schemas.openxmlformats.org/officeDocument/2006/relationships/hyperlink" Id="rId50" Target="https://guide.highbyte.com/configuration/?utm_source=chatgpt.com" TargetMode="External" /><Relationship Type="http://schemas.openxmlformats.org/officeDocument/2006/relationships/hyperlink" Id="rId52" Target="https://guide.highbyte.com/configuration/administration/certificates/" TargetMode="External" /><Relationship Type="http://schemas.openxmlformats.org/officeDocument/2006/relationships/hyperlink" Id="rId53" Target="https://guide.highbyte.com/configuration/administration/secrets/" TargetMode="External" /><Relationship Type="http://schemas.openxmlformats.org/officeDocument/2006/relationships/hyperlink" Id="rId51" Target="https://guide.highbyte.com/configuration/administration/users_and_roles/" TargetMode="External" /><Relationship Type="http://schemas.openxmlformats.org/officeDocument/2006/relationships/hyperlink" Id="rId55" Target="https://guide.highbyte.com/configuration/connect/?utm_source=chatgpt.com" TargetMode="External" /><Relationship Type="http://schemas.openxmlformats.org/officeDocument/2006/relationships/hyperlink" Id="rId54" Target="https://guide.highbyte.com/configuration/servers/restdata/" TargetMode="External" /><Relationship Type="http://schemas.openxmlformats.org/officeDocument/2006/relationships/hyperlink" Id="rId42" Target="https://guide.highbyte.com/setup/git/" TargetMode="External" /><Relationship Type="http://schemas.openxmlformats.org/officeDocument/2006/relationships/hyperlink" Id="rId33" Target="https://guide.highbyte.com/setup/high_availability/?utm_source=chatgpt.com" TargetMode="External" /><Relationship Type="http://schemas.openxmlformats.org/officeDocument/2006/relationships/hyperlink" Id="rId21" Target="https://health.ec.europa.eu/system/files/2016-11/annex11_01-2011_en_0.pdf" TargetMode="External" /><Relationship Type="http://schemas.openxmlformats.org/officeDocument/2006/relationships/hyperlink" Id="rId26" Target="https://nvlpubs.nist.gov/nistpubs/SpecialPublications/NIST.SP.800-82r3.pdf" TargetMode="External" /><Relationship Type="http://schemas.openxmlformats.org/officeDocument/2006/relationships/hyperlink" Id="rId47" Target="https://www.docs.inductiveautomation.com/docs/8.1/appendix/reference-pages/gateway-port-reference" TargetMode="External" /><Relationship Type="http://schemas.openxmlformats.org/officeDocument/2006/relationships/hyperlink" Id="rId39" Target="https://www.docs.inductiveautomation.com/docs/8.1/platform/audit-log-and-profiles?utm_source=chatgpt.com" TargetMode="External" /><Relationship Type="http://schemas.openxmlformats.org/officeDocument/2006/relationships/hyperlink" Id="rId48" Target="https://www.docs.inductiveautomation.com/docs/8.1/platform/gateway-network/gateway-network-certificates-and-ssl" TargetMode="External" /><Relationship Type="http://schemas.openxmlformats.org/officeDocument/2006/relationships/hyperlink" Id="rId46" Target="https://www.docs.inductiveautomation.com/docs/8.1/platform/ignition-redundancy?utm_source=chatgpt.com" TargetMode="External" /><Relationship Type="http://schemas.openxmlformats.org/officeDocument/2006/relationships/hyperlink" Id="rId38" Target="https://www.docs.inductiveautomation.com/docs/8.1/platform/security/identity-provider-authentication-strategy" TargetMode="External" /><Relationship Type="http://schemas.openxmlformats.org/officeDocument/2006/relationships/hyperlink" Id="rId45" Target="https://www.docs.inductiveautomation.com/docs/8.1/platform/security/security-zones" TargetMode="External" /><Relationship Type="http://schemas.openxmlformats.org/officeDocument/2006/relationships/hyperlink" Id="rId32" Target="https://www.docs.inductiveautomation.com/docs/8.1/system-architectures/redundancy-architecture?utm_source=chatgpt.com" TargetMode="External" /><Relationship Type="http://schemas.openxmlformats.org/officeDocument/2006/relationships/hyperlink" Id="rId23" Target="https://www.ecfr.gov/current/title-21/chapter-I/subchapter-A/part-11/subpart-B/section-11.10?utm_source=chatgpt.com" TargetMode="External" /><Relationship Type="http://schemas.openxmlformats.org/officeDocument/2006/relationships/hyperlink" Id="rId60" Target="https://www.ecfr.gov/current/title-21/chapter-I/subchapter-C/part-211/subpart-D/section-211.68?utm_source=chatgpt.com" TargetMode="External" /><Relationship Type="http://schemas.openxmlformats.org/officeDocument/2006/relationships/hyperlink" Id="rId40" Target="https://www.ecfr.gov/current/title-21/chapter-I/subchapter-C/part-211/subpart-J/section-211.188?utm_source=chatgpt.com" TargetMode="External" /><Relationship Type="http://schemas.openxmlformats.org/officeDocument/2006/relationships/hyperlink" Id="rId22" Target="https://www.fda.gov/media/119267/download" TargetMode="External" /></Relationships>
</file>

<file path=word/_rels/footnotes.xml.rels><?xml version="1.0" encoding="UTF-8"?><Relationships xmlns="http://schemas.openxmlformats.org/package/2006/relationships"><Relationship Type="http://schemas.openxmlformats.org/officeDocument/2006/relationships/hyperlink" Id="rId37" Target="https://assets.inductiveautomation.com/s3fs-production/test_folder/Ignition%20Security%20Hardening%20Guide%208.1_0.pdf" TargetMode="External" /><Relationship Type="http://schemas.openxmlformats.org/officeDocument/2006/relationships/hyperlink" Id="rId31" Target="https://docs.hivemq.com/hivemq/latest/control-center/configuration.html" TargetMode="External" /><Relationship Type="http://schemas.openxmlformats.org/officeDocument/2006/relationships/hyperlink" Id="rId30" Target="https://docs.hivemq.com/hivemq/latest/extensions/authorization.html" TargetMode="External" /><Relationship Type="http://schemas.openxmlformats.org/officeDocument/2006/relationships/hyperlink" Id="rId43" Target="https://docs.hivemq.com/hivemq/latest/user-guide/backup-restore.html?utm_source=chatgpt.com" TargetMode="External" /><Relationship Type="http://schemas.openxmlformats.org/officeDocument/2006/relationships/hyperlink" Id="rId34" Target="https://docs.hivemq.com/hivemq/latest/user-guide/cluster.html?utm_source=chatgpt.com" TargetMode="External" /><Relationship Type="http://schemas.openxmlformats.org/officeDocument/2006/relationships/hyperlink" Id="rId57" Target="https://docs.hivemq.com/hivemq/latest/user-guide/howtos.html" TargetMode="External" /><Relationship Type="http://schemas.openxmlformats.org/officeDocument/2006/relationships/hyperlink" Id="rId36" Target="https://docs.hivemq.com/hivemq/latest/user-guide/monitoring.html?utm_source=chatgpt.com" TargetMode="External" /><Relationship Type="http://schemas.openxmlformats.org/officeDocument/2006/relationships/hyperlink" Id="rId35" Target="https://docs.hivemq.com/hivemq/latest/user-guide/overload-protection.html" TargetMode="External" /><Relationship Type="http://schemas.openxmlformats.org/officeDocument/2006/relationships/hyperlink" Id="rId41" Target="https://docs.hivemq.com/hivemq/latest/user-guide/restrictions.html" TargetMode="External" /><Relationship Type="http://schemas.openxmlformats.org/officeDocument/2006/relationships/hyperlink" Id="rId27" Target="https://docs.hivemq.com/hivemq/latest/user-guide/security.html" TargetMode="External" /><Relationship Type="http://schemas.openxmlformats.org/officeDocument/2006/relationships/hyperlink" Id="rId61" Target="https://github.com/hivemq/hivemq-file-rbac-extension" TargetMode="External" /><Relationship Type="http://schemas.openxmlformats.org/officeDocument/2006/relationships/hyperlink" Id="rId50" Target="https://guide.highbyte.com/configuration/?utm_source=chatgpt.com" TargetMode="External" /><Relationship Type="http://schemas.openxmlformats.org/officeDocument/2006/relationships/hyperlink" Id="rId52" Target="https://guide.highbyte.com/configuration/administration/certificates/" TargetMode="External" /><Relationship Type="http://schemas.openxmlformats.org/officeDocument/2006/relationships/hyperlink" Id="rId53" Target="https://guide.highbyte.com/configuration/administration/secrets/" TargetMode="External" /><Relationship Type="http://schemas.openxmlformats.org/officeDocument/2006/relationships/hyperlink" Id="rId51" Target="https://guide.highbyte.com/configuration/administration/users_and_roles/" TargetMode="External" /><Relationship Type="http://schemas.openxmlformats.org/officeDocument/2006/relationships/hyperlink" Id="rId55" Target="https://guide.highbyte.com/configuration/connect/?utm_source=chatgpt.com" TargetMode="External" /><Relationship Type="http://schemas.openxmlformats.org/officeDocument/2006/relationships/hyperlink" Id="rId54" Target="https://guide.highbyte.com/configuration/servers/restdata/" TargetMode="External" /><Relationship Type="http://schemas.openxmlformats.org/officeDocument/2006/relationships/hyperlink" Id="rId42" Target="https://guide.highbyte.com/setup/git/" TargetMode="External" /><Relationship Type="http://schemas.openxmlformats.org/officeDocument/2006/relationships/hyperlink" Id="rId33" Target="https://guide.highbyte.com/setup/high_availability/?utm_source=chatgpt.com" TargetMode="External" /><Relationship Type="http://schemas.openxmlformats.org/officeDocument/2006/relationships/hyperlink" Id="rId21" Target="https://health.ec.europa.eu/system/files/2016-11/annex11_01-2011_en_0.pdf" TargetMode="External" /><Relationship Type="http://schemas.openxmlformats.org/officeDocument/2006/relationships/hyperlink" Id="rId26" Target="https://nvlpubs.nist.gov/nistpubs/SpecialPublications/NIST.SP.800-82r3.pdf" TargetMode="External" /><Relationship Type="http://schemas.openxmlformats.org/officeDocument/2006/relationships/hyperlink" Id="rId47" Target="https://www.docs.inductiveautomation.com/docs/8.1/appendix/reference-pages/gateway-port-reference" TargetMode="External" /><Relationship Type="http://schemas.openxmlformats.org/officeDocument/2006/relationships/hyperlink" Id="rId39" Target="https://www.docs.inductiveautomation.com/docs/8.1/platform/audit-log-and-profiles?utm_source=chatgpt.com" TargetMode="External" /><Relationship Type="http://schemas.openxmlformats.org/officeDocument/2006/relationships/hyperlink" Id="rId48" Target="https://www.docs.inductiveautomation.com/docs/8.1/platform/gateway-network/gateway-network-certificates-and-ssl" TargetMode="External" /><Relationship Type="http://schemas.openxmlformats.org/officeDocument/2006/relationships/hyperlink" Id="rId46" Target="https://www.docs.inductiveautomation.com/docs/8.1/platform/ignition-redundancy?utm_source=chatgpt.com" TargetMode="External" /><Relationship Type="http://schemas.openxmlformats.org/officeDocument/2006/relationships/hyperlink" Id="rId38" Target="https://www.docs.inductiveautomation.com/docs/8.1/platform/security/identity-provider-authentication-strategy" TargetMode="External" /><Relationship Type="http://schemas.openxmlformats.org/officeDocument/2006/relationships/hyperlink" Id="rId45" Target="https://www.docs.inductiveautomation.com/docs/8.1/platform/security/security-zones" TargetMode="External" /><Relationship Type="http://schemas.openxmlformats.org/officeDocument/2006/relationships/hyperlink" Id="rId32" Target="https://www.docs.inductiveautomation.com/docs/8.1/system-architectures/redundancy-architecture?utm_source=chatgpt.com" TargetMode="External" /><Relationship Type="http://schemas.openxmlformats.org/officeDocument/2006/relationships/hyperlink" Id="rId23" Target="https://www.ecfr.gov/current/title-21/chapter-I/subchapter-A/part-11/subpart-B/section-11.10?utm_source=chatgpt.com" TargetMode="External" /><Relationship Type="http://schemas.openxmlformats.org/officeDocument/2006/relationships/hyperlink" Id="rId60" Target="https://www.ecfr.gov/current/title-21/chapter-I/subchapter-C/part-211/subpart-D/section-211.68?utm_source=chatgpt.com" TargetMode="External" /><Relationship Type="http://schemas.openxmlformats.org/officeDocument/2006/relationships/hyperlink" Id="rId40" Target="https://www.ecfr.gov/current/title-21/chapter-I/subchapter-C/part-211/subpart-J/section-211.188?utm_source=chatgpt.com" TargetMode="External" /><Relationship Type="http://schemas.openxmlformats.org/officeDocument/2006/relationships/hyperlink" Id="rId22" Target="https://www.fda.gov/media/119267/downloa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2026-03-27T14:21:57Z</dcterms:created>
  <dcterms:modified xsi:type="dcterms:W3CDTF">2026-03-27T14:21:57Z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