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a062f5651c5c1a8bb87e7f2e92796e17b487759"/>
    <w:p>
      <w:pPr>
        <w:pStyle w:val="Heading1"/>
      </w:pPr>
      <w:r>
        <w:t xml:space="preserve">Event-Driven Integration of BioProfile FLEX2 in Regulated Biopharma Manufacturing</w:t>
      </w:r>
    </w:p>
    <w:bookmarkStart w:id="25" w:name="key-user-stories"/>
    <w:p>
      <w:pPr>
        <w:pStyle w:val="Heading2"/>
      </w:pPr>
      <w:r>
        <w:t xml:space="preserve">Key User Stories</w:t>
      </w:r>
    </w:p>
    <w:p>
      <w:pPr>
        <w:numPr>
          <w:ilvl w:val="0"/>
          <w:numId w:val="1001"/>
        </w:numPr>
      </w:pPr>
      <w:r>
        <w:rPr>
          <w:b/>
          <w:bCs/>
        </w:rPr>
        <w:t xml:space="preserve">Production Operator:</w:t>
      </w:r>
      <w:r>
        <w:t xml:space="preserve"> </w:t>
      </w:r>
      <w:r>
        <w:rPr>
          <w:i/>
          <w:iCs/>
        </w:rPr>
        <w:t xml:space="preserve">As an operator, I want to be prompted by the MES (e.g. PAS-X) when a cell culture sample is due, and then scan a barcode on the sample and analyzer so that the correct result is automatically captured.</w:t>
      </w:r>
      <w:r>
        <w:t xml:space="preserve"> </w:t>
      </w:r>
      <w:r>
        <w:t xml:space="preserve">This ensures I perform the manual draw at the right time, use the Nova</w:t>
      </w:r>
      <w:r>
        <w:t xml:space="preserve"> </w:t>
      </w:r>
      <w:r>
        <w:rPr>
          <w:b/>
          <w:bCs/>
        </w:rPr>
        <w:t xml:space="preserve">BioProfile FLEX2</w:t>
      </w:r>
      <w:r>
        <w:t xml:space="preserve"> </w:t>
      </w:r>
      <w:r>
        <w:t xml:space="preserve">analyzer correctly, and avoid transcription errors by having results digitally linked to the batch record in real time.</w:t>
      </w:r>
    </w:p>
    <w:p>
      <w:pPr>
        <w:numPr>
          <w:ilvl w:val="0"/>
          <w:numId w:val="1001"/>
        </w:numPr>
      </w:pPr>
      <w:r>
        <w:rPr>
          <w:b/>
          <w:bCs/>
        </w:rPr>
        <w:t xml:space="preserve">Quality Assurance (QA):</w:t>
      </w:r>
      <w:r>
        <w:t xml:space="preserve"> </w:t>
      </w:r>
      <w:r>
        <w:rPr>
          <w:i/>
          <w:iCs/>
        </w:rPr>
        <w:t xml:space="preserve">As a QA specialist, I want every instrument-derived result to be traceable, attributable to an individual and instrument, and unalterably recorded with full context (batch, timestamp, operator) so that we meet GxP data integrity standards.</w:t>
      </w:r>
      <w:r>
        <w:t xml:space="preserve"> </w:t>
      </w:r>
      <w:r>
        <w:t xml:space="preserve">The system should provide an audit trail and</w:t>
      </w:r>
      <w:r>
        <w:t xml:space="preserve"> </w:t>
      </w:r>
      <w:r>
        <w:rPr>
          <w:b/>
          <w:bCs/>
        </w:rPr>
        <w:t xml:space="preserve">ALCOA+</w:t>
      </w:r>
      <w:r>
        <w:t xml:space="preserve"> </w:t>
      </w:r>
      <w:r>
        <w:t xml:space="preserve">compliance (Attributable, Legible, Contemporaneous, Original, Accurate, etc.) for all sample data</w:t>
      </w:r>
      <w:hyperlink r:id="rId21">
        <w:r>
          <w:rPr>
            <w:rStyle w:val="Hyperlink"/>
          </w:rPr>
          <w:t xml:space="preserve">[1]</w:t>
        </w:r>
      </w:hyperlink>
      <w:r>
        <w:t xml:space="preserve">. QA needs confidence that no result can be lost or modified without trace, and that both the raw analyzer data and contextualized batch information are retained for inspections</w:t>
      </w:r>
      <w:hyperlink r:id="rId22">
        <w:r>
          <w:rPr>
            <w:rStyle w:val="Hyperlink"/>
          </w:rPr>
          <w:t xml:space="preserve">[2]</w:t>
        </w:r>
      </w:hyperlink>
      <w:r>
        <w:t xml:space="preserve">.</w:t>
      </w:r>
    </w:p>
    <w:p>
      <w:pPr>
        <w:numPr>
          <w:ilvl w:val="0"/>
          <w:numId w:val="1001"/>
        </w:numPr>
      </w:pPr>
      <w:r>
        <w:rPr>
          <w:b/>
          <w:bCs/>
        </w:rPr>
        <w:t xml:space="preserve">Manufacturing/Process Engineer:</w:t>
      </w:r>
      <w:r>
        <w:t xml:space="preserve"> </w:t>
      </w:r>
      <w:r>
        <w:rPr>
          <w:i/>
          <w:iCs/>
        </w:rPr>
        <w:t xml:space="preserve">As a manufacturing engineer or supervisor, I want real-time visibility of critical cell culture parameters (e.g. metabolites, cell viability) from the FLEX2 analyzer across all active batches (10+ simultaneously) so that I can make timely process adjustments and ensure each batch stays within specifications.</w:t>
      </w:r>
      <w:r>
        <w:t xml:space="preserve"> </w:t>
      </w:r>
      <w:r>
        <w:t xml:space="preserve">The data should be aggregated for trending and process insights, with each measurement linked to the correct batch and process step for deeper analysis. Contextualizing data with batch and process events is crucial for understanding trends and deviations</w:t>
      </w:r>
      <w:hyperlink r:id="rId23">
        <w:r>
          <w:rPr>
            <w:rStyle w:val="Hyperlink"/>
          </w:rPr>
          <w:t xml:space="preserve">[3]</w:t>
        </w:r>
      </w:hyperlink>
      <w:r>
        <w:t xml:space="preserve">.</w:t>
      </w:r>
    </w:p>
    <w:p>
      <w:pPr>
        <w:numPr>
          <w:ilvl w:val="0"/>
          <w:numId w:val="1001"/>
        </w:numPr>
      </w:pPr>
      <w:r>
        <w:rPr>
          <w:b/>
          <w:bCs/>
        </w:rPr>
        <w:t xml:space="preserve">Digital Systems/IT-OT Engineer:</w:t>
      </w:r>
      <w:r>
        <w:t xml:space="preserve"> </w:t>
      </w:r>
      <w:r>
        <w:rPr>
          <w:i/>
          <w:iCs/>
        </w:rPr>
        <w:t xml:space="preserve">As a digital systems engineer, I need an architecture that reliably transports instrument events (sample requests, results) from the shop floor to enterprise systems (MES, historians, analytics) in a scalable,</w:t>
      </w:r>
      <w:r>
        <w:t xml:space="preserve"> </w:t>
      </w:r>
      <w:r>
        <w:rPr>
          <w:i/>
          <w:iCs/>
        </w:rPr>
        <w:t xml:space="preserve">event-driven</w:t>
      </w:r>
      <w:r>
        <w:t xml:space="preserve"> </w:t>
      </w:r>
      <w:r>
        <w:rPr>
          <w:i/>
          <w:iCs/>
        </w:rPr>
        <w:t xml:space="preserve">manner, while satisfying regulatory requirements for reliability and auditability.</w:t>
      </w:r>
      <w:r>
        <w:t xml:space="preserve"> </w:t>
      </w:r>
      <w:r>
        <w:t xml:space="preserve">The solution should leverage standard protocols (MQTT, OPC UA) and robust infrastructure (Aveva PI historian, Kafka) to ensure</w:t>
      </w:r>
      <w:r>
        <w:t xml:space="preserve"> </w:t>
      </w:r>
      <w:r>
        <w:rPr>
          <w:b/>
          <w:bCs/>
        </w:rPr>
        <w:t xml:space="preserve">zero message loss, full traceability, and audit-ready reliability</w:t>
      </w:r>
      <w:hyperlink r:id="rId24">
        <w:r>
          <w:rPr>
            <w:rStyle w:val="Hyperlink"/>
          </w:rPr>
          <w:t xml:space="preserve">[4]</w:t>
        </w:r>
      </w:hyperlink>
      <w:r>
        <w:t xml:space="preserve">. It must be resilient to network issues (store-and-forward, buffering) and secure (with firewalls/segmentation where appropriate) to protect our converged plant network.</w:t>
      </w:r>
    </w:p>
    <w:bookmarkEnd w:id="25"/>
    <w:bookmarkStart w:id="41" w:name="solution-architecture-options"/>
    <w:p>
      <w:pPr>
        <w:pStyle w:val="Heading2"/>
      </w:pPr>
      <w:r>
        <w:t xml:space="preserve">Solution Architecture Options</w:t>
      </w:r>
    </w:p>
    <w:p>
      <w:pPr>
        <w:pStyle w:val="FirstParagraph"/>
      </w:pPr>
      <w:r>
        <w:t xml:space="preserve">To incorporate the</w:t>
      </w:r>
      <w:r>
        <w:t xml:space="preserve"> </w:t>
      </w:r>
      <w:r>
        <w:rPr>
          <w:b/>
          <w:bCs/>
        </w:rPr>
        <w:t xml:space="preserve">BioProfile FLEX2</w:t>
      </w:r>
      <w:r>
        <w:t xml:space="preserve"> </w:t>
      </w:r>
      <w:r>
        <w:t xml:space="preserve">analyzer into an event-driven architecture, we propose two architecture approaches:</w:t>
      </w:r>
    </w:p>
    <w:bookmarkStart w:id="35" w:name="X958121ccf341ad0952139cf28792852e2d84893"/>
    <w:p>
      <w:pPr>
        <w:pStyle w:val="Heading3"/>
      </w:pPr>
      <w:r>
        <w:t xml:space="preserve">Option 1: Direct MQTT Edge Integration to Kafka</w:t>
      </w:r>
    </w:p>
    <w:p>
      <w:pPr>
        <w:pStyle w:val="FirstParagraph"/>
      </w:pPr>
      <w:r>
        <w:t xml:space="preserve">In this design, an</w:t>
      </w:r>
      <w:r>
        <w:t xml:space="preserve"> </w:t>
      </w:r>
      <w:r>
        <w:rPr>
          <w:b/>
          <w:bCs/>
        </w:rPr>
        <w:t xml:space="preserve">edge gateway</w:t>
      </w:r>
      <w:r>
        <w:t xml:space="preserve"> </w:t>
      </w:r>
      <w:r>
        <w:t xml:space="preserve">at the instrument station interfaces directly with the FLEX2 analyzer and publishes events via MQTT to the enterprise event bus (Kafka or other middleware):</w:t>
      </w:r>
    </w:p>
    <w:p>
      <w:pPr>
        <w:numPr>
          <w:ilvl w:val="0"/>
          <w:numId w:val="1002"/>
        </w:numPr>
      </w:pPr>
      <w:r>
        <w:rPr>
          <w:b/>
          <w:bCs/>
        </w:rPr>
        <w:t xml:space="preserve">Edge Connectivity:</w:t>
      </w:r>
      <w:r>
        <w:t xml:space="preserve"> </w:t>
      </w:r>
      <w:r>
        <w:t xml:space="preserve">The FLEX2 analyzer outputs data through its OPC or serial interface; a local gateway PC or IoT device runs a lightweight client to retrieve results. (Nova provides an OPC server option for FLEX2</w:t>
      </w:r>
      <w:hyperlink r:id="rId26">
        <w:r>
          <w:rPr>
            <w:rStyle w:val="Hyperlink"/>
          </w:rPr>
          <w:t xml:space="preserve">[5]</w:t>
        </w:r>
      </w:hyperlink>
      <w:r>
        <w:t xml:space="preserve">, which the gateway can use to read analyzer data once a sample is completed.) The operator scans the sample barcode into the analyzer or gateway application, which tags the data with a unique Sample ID and batch context.</w:t>
      </w:r>
    </w:p>
    <w:p>
      <w:pPr>
        <w:numPr>
          <w:ilvl w:val="0"/>
          <w:numId w:val="1002"/>
        </w:numPr>
      </w:pPr>
      <w:r>
        <w:rPr>
          <w:b/>
          <w:bCs/>
        </w:rPr>
        <w:t xml:space="preserve">MQTT Event Publishing:</w:t>
      </w:r>
      <w:r>
        <w:t xml:space="preserve"> </w:t>
      </w:r>
      <w:r>
        <w:t xml:space="preserve">The gateway publishes a structured MQTT message (e.g. JSON or Sparkplug payload) to the plant MQTT broker as soon as results are ready. Each message contains raw results (e.g. metabolite concentrations, pH, cell density) plus contextual metadata: Sample ID, Batch ID, product, process step, timestamp, operator ID, and instrument ID. This</w:t>
      </w:r>
      <w:r>
        <w:t xml:space="preserve"> </w:t>
      </w:r>
      <w:r>
        <w:rPr>
          <w:b/>
          <w:bCs/>
        </w:rPr>
        <w:t xml:space="preserve">contextualization transforms raw data into meaningful, linked information</w:t>
      </w:r>
      <w:hyperlink r:id="rId23">
        <w:r>
          <w:rPr>
            <w:rStyle w:val="Hyperlink"/>
          </w:rPr>
          <w:t xml:space="preserve">[3]</w:t>
        </w:r>
      </w:hyperlink>
      <w:r>
        <w:t xml:space="preserve">, enabling downstream systems to understand what the data represents (which batch, which draw) without ambiguity.</w:t>
      </w:r>
    </w:p>
    <w:p>
      <w:pPr>
        <w:numPr>
          <w:ilvl w:val="0"/>
          <w:numId w:val="1002"/>
        </w:numPr>
      </w:pPr>
      <w:r>
        <w:rPr>
          <w:b/>
          <w:bCs/>
        </w:rPr>
        <w:t xml:space="preserve">Event Transport to Kafka:</w:t>
      </w:r>
      <w:r>
        <w:t xml:space="preserve"> </w:t>
      </w:r>
      <w:r>
        <w:t xml:space="preserve">The MQTT broker (e.g. HiveMQ or Mosquitto) bridges into the Kafka-based integration layer. For example, HiveMQ offers an enterprise MQTT broker that can ensure pharma-grade data integrity and directly integrate with Kafka</w:t>
      </w:r>
      <w:hyperlink r:id="rId27">
        <w:r>
          <w:rPr>
            <w:rStyle w:val="Hyperlink"/>
          </w:rPr>
          <w:t xml:space="preserve">[6]</w:t>
        </w:r>
      </w:hyperlink>
      <w:hyperlink r:id="rId28">
        <w:r>
          <w:rPr>
            <w:rStyle w:val="Hyperlink"/>
          </w:rPr>
          <w:t xml:space="preserve">[7]</w:t>
        </w:r>
      </w:hyperlink>
      <w:r>
        <w:t xml:space="preserve">. This integration can be achieved via a Kafka Connector or MQTT-Kafka bridge so that each MQTT event becomes a Kafka message in the appropriate topic (e.g.</w:t>
      </w:r>
      <w:r>
        <w:t xml:space="preserve"> </w:t>
      </w:r>
      <w:r>
        <w:rPr>
          <w:rStyle w:val="VerbatimChar"/>
        </w:rPr>
        <w:t xml:space="preserve">labresults.batch123</w:t>
      </w:r>
      <w:r>
        <w:t xml:space="preserve">).</w:t>
      </w:r>
    </w:p>
    <w:p>
      <w:pPr>
        <w:numPr>
          <w:ilvl w:val="0"/>
          <w:numId w:val="1002"/>
        </w:numPr>
      </w:pPr>
      <w:r>
        <w:rPr>
          <w:b/>
          <w:bCs/>
        </w:rPr>
        <w:t xml:space="preserve">MES and Subscriber Integration:</w:t>
      </w:r>
      <w:r>
        <w:t xml:space="preserve"> </w:t>
      </w:r>
      <w:r>
        <w:t xml:space="preserve">A microservice or integration middleware subscribes to the Kafka topic for lab results and updates the MES. This could be done via MES’s API or message interface – e.g., the service receives the</w:t>
      </w:r>
      <w:r>
        <w:t xml:space="preserve"> </w:t>
      </w:r>
      <w:r>
        <w:rPr>
          <w:rStyle w:val="VerbatimChar"/>
        </w:rPr>
        <w:t xml:space="preserve">analysis_result</w:t>
      </w:r>
      <w:r>
        <w:t xml:space="preserve"> </w:t>
      </w:r>
      <w:r>
        <w:t xml:space="preserve">event and calls a PAS-X web service to record the result against the correct step in the Electronic Batch Record (EBR). The EBR is thus automatically populated with the analyzer result, and it can store the value or a reference to it. (In some cases, the EBR might just contain a reference ID that links to the full data stored in a historian or database</w:t>
      </w:r>
      <w:hyperlink r:id="rId29">
        <w:r>
          <w:rPr>
            <w:rStyle w:val="Hyperlink"/>
          </w:rPr>
          <w:t xml:space="preserve">[8]</w:t>
        </w:r>
      </w:hyperlink>
      <w:r>
        <w:t xml:space="preserve">.) The operator’s digital logbook step in MES can be automatically completed or flagged for electronic signature once data is received, ensuring the operator’s action and the instrument data are linked and time-stamped.</w:t>
      </w:r>
    </w:p>
    <w:p>
      <w:pPr>
        <w:numPr>
          <w:ilvl w:val="0"/>
          <w:numId w:val="1002"/>
        </w:numPr>
      </w:pPr>
      <w:r>
        <w:rPr>
          <w:b/>
          <w:bCs/>
        </w:rPr>
        <w:t xml:space="preserve">Data Storage and Analytics:</w:t>
      </w:r>
      <w:r>
        <w:t xml:space="preserve"> </w:t>
      </w:r>
      <w:r>
        <w:t xml:space="preserve">Kafka can also stream the data to other consumers: for example, to a data lake or manufacturing intelligence platform for advanced analytics, and to the</w:t>
      </w:r>
      <w:r>
        <w:t xml:space="preserve"> </w:t>
      </w:r>
      <w:r>
        <w:rPr>
          <w:b/>
          <w:bCs/>
        </w:rPr>
        <w:t xml:space="preserve">AVEVA PI</w:t>
      </w:r>
      <w:r>
        <w:t xml:space="preserve"> </w:t>
      </w:r>
      <w:r>
        <w:t xml:space="preserve">historian (if used) for long-term storage. In this direct integration scenario, PI could be optional; however, archiving the raw and contextualized data in a historian or data lake is recommended for compliance (long-term retention) and process analysis. The MQTT/Kafka backbone essentially acts as a</w:t>
      </w:r>
      <w:r>
        <w:t xml:space="preserve"> </w:t>
      </w:r>
      <w:r>
        <w:rPr>
          <w:b/>
          <w:bCs/>
        </w:rPr>
        <w:t xml:space="preserve">Unified Namespace</w:t>
      </w:r>
      <w:r>
        <w:t xml:space="preserve"> </w:t>
      </w:r>
      <w:r>
        <w:t xml:space="preserve">for real-time plant data</w:t>
      </w:r>
      <w:hyperlink r:id="rId30">
        <w:r>
          <w:rPr>
            <w:rStyle w:val="Hyperlink"/>
          </w:rPr>
          <w:t xml:space="preserve">[9]</w:t>
        </w:r>
      </w:hyperlink>
      <w:hyperlink r:id="rId31">
        <w:r>
          <w:rPr>
            <w:rStyle w:val="Hyperlink"/>
          </w:rPr>
          <w:t xml:space="preserve">[10]</w:t>
        </w:r>
      </w:hyperlink>
      <w:r>
        <w:t xml:space="preserve">, making the FLEX2 results immediately available to any authorized system (MES, historian, analytics, etc.) in a publish-subscribe model.</w:t>
      </w:r>
    </w:p>
    <w:p>
      <w:pPr>
        <w:pStyle w:val="FirstParagraph"/>
      </w:pPr>
      <w:r>
        <w:rPr>
          <w:b/>
          <w:bCs/>
        </w:rPr>
        <w:t xml:space="preserve">Key advantages:</w:t>
      </w:r>
      <w:r>
        <w:t xml:space="preserve"> </w:t>
      </w:r>
      <w:r>
        <w:t xml:space="preserve">This approach provides low-latency event delivery and decouples the instrument from any one consumer. It is highly scalable for multiple batches/instruments since MQTT and Kafka handle many streams efficiently. It aligns with modern Pharma 4.0 trends by enabling real-time data exchange across IT/OT with a unified backbone</w:t>
      </w:r>
      <w:hyperlink r:id="rId30">
        <w:r>
          <w:rPr>
            <w:rStyle w:val="Hyperlink"/>
          </w:rPr>
          <w:t xml:space="preserve">[11]</w:t>
        </w:r>
      </w:hyperlink>
      <w:hyperlink r:id="rId32">
        <w:r>
          <w:rPr>
            <w:rStyle w:val="Hyperlink"/>
          </w:rPr>
          <w:t xml:space="preserve">[12]</w:t>
        </w:r>
      </w:hyperlink>
      <w:r>
        <w:t xml:space="preserve">. It also supports</w:t>
      </w:r>
      <w:r>
        <w:t xml:space="preserve"> </w:t>
      </w:r>
      <w:r>
        <w:rPr>
          <w:b/>
          <w:bCs/>
        </w:rPr>
        <w:t xml:space="preserve">flexibility</w:t>
      </w:r>
      <w:r>
        <w:t xml:space="preserve"> </w:t>
      </w:r>
      <w:r>
        <w:t xml:space="preserve">– new subscribers (like a cloud analytics app) can tap into the Kafka stream without modifying the instrument integration. With a quality MQTT broker and Kafka setup, it can be made compliant: guaranteeing message persistence (no data loss) and providing full trace logs of each message</w:t>
      </w:r>
      <w:hyperlink r:id="rId33">
        <w:r>
          <w:rPr>
            <w:rStyle w:val="Hyperlink"/>
          </w:rPr>
          <w:t xml:space="preserve">[13]</w:t>
        </w:r>
      </w:hyperlink>
      <w:r>
        <w:t xml:space="preserve">. HiveMQ emphasizes that MQTT with an enterprise broker can meet the dual mandate of regulatory compliance and agility by ensuring deterministic delivery, security, and audit trails</w:t>
      </w:r>
      <w:hyperlink r:id="rId34">
        <w:r>
          <w:rPr>
            <w:rStyle w:val="Hyperlink"/>
          </w:rPr>
          <w:t xml:space="preserve">[14]</w:t>
        </w:r>
      </w:hyperlink>
      <w:hyperlink r:id="rId33">
        <w:r>
          <w:rPr>
            <w:rStyle w:val="Hyperlink"/>
          </w:rPr>
          <w:t xml:space="preserve">[13]</w:t>
        </w:r>
      </w:hyperlink>
      <w:r>
        <w:t xml:space="preserve">.</w:t>
      </w:r>
    </w:p>
    <w:p>
      <w:pPr>
        <w:pStyle w:val="BodyText"/>
      </w:pPr>
      <w:r>
        <w:rPr>
          <w:b/>
          <w:bCs/>
        </w:rPr>
        <w:t xml:space="preserve">Challenges:</w:t>
      </w:r>
      <w:r>
        <w:t xml:space="preserve"> </w:t>
      </w:r>
      <w:r>
        <w:t xml:space="preserve">The direct MQTT-&gt;Kafka path introduces an additional component (MQTT broker) that must be validated for GxP use. We must implement store-and-forward on the edge in case of network outages (for instance, using MQTT QoS 1 or 2 for guaranteed delivery and offline buffering). All data flows and transformations need to be qualified to ensure the data is</w:t>
      </w:r>
      <w:r>
        <w:t xml:space="preserve"> </w:t>
      </w:r>
      <w:r>
        <w:rPr>
          <w:b/>
          <w:bCs/>
        </w:rPr>
        <w:t xml:space="preserve">Original and Accurate</w:t>
      </w:r>
      <w:r>
        <w:t xml:space="preserve"> </w:t>
      </w:r>
      <w:r>
        <w:t xml:space="preserve">(per ALCOA) when it reaches the MES. Proper</w:t>
      </w:r>
      <w:r>
        <w:t xml:space="preserve"> </w:t>
      </w:r>
      <w:r>
        <w:rPr>
          <w:b/>
          <w:bCs/>
        </w:rPr>
        <w:t xml:space="preserve">time synchronization</w:t>
      </w:r>
      <w:r>
        <w:t xml:space="preserve"> </w:t>
      </w:r>
      <w:r>
        <w:t xml:space="preserve">(NTP/PTP) is needed so that timestamps from the edge align with MES/EBR time. Also, security controls (firewalls, authentication) should be in place for MQTT broker access since the plant network is converged – e.g., restrict broker ports and use TLS and certificates for MQTT connections to prevent tampering.</w:t>
      </w:r>
    </w:p>
    <w:bookmarkEnd w:id="35"/>
    <w:bookmarkStart w:id="40" w:name="X96f0510c8e162494945d937590bb535b07977ab"/>
    <w:p>
      <w:pPr>
        <w:pStyle w:val="Heading3"/>
      </w:pPr>
      <w:r>
        <w:t xml:space="preserve">Option 2: OPC UA and Historian-First Integration (PI-Centric)</w:t>
      </w:r>
    </w:p>
    <w:p>
      <w:pPr>
        <w:pStyle w:val="FirstParagraph"/>
      </w:pPr>
      <w:r>
        <w:t xml:space="preserve">This architecture leverages the</w:t>
      </w:r>
      <w:r>
        <w:t xml:space="preserve"> </w:t>
      </w:r>
      <w:r>
        <w:rPr>
          <w:b/>
          <w:bCs/>
        </w:rPr>
        <w:t xml:space="preserve">OPC UA</w:t>
      </w:r>
      <w:r>
        <w:t xml:space="preserve"> </w:t>
      </w:r>
      <w:r>
        <w:t xml:space="preserve">connectivity of the FLEX2 (or an OPC gateway) to feed data first into the site’s data historian (OSIsoft</w:t>
      </w:r>
      <w:r>
        <w:t xml:space="preserve"> </w:t>
      </w:r>
      <w:r>
        <w:rPr>
          <w:b/>
          <w:bCs/>
        </w:rPr>
        <w:t xml:space="preserve">PI System</w:t>
      </w:r>
      <w:r>
        <w:t xml:space="preserve">), and then forward events to other systems:</w:t>
      </w:r>
    </w:p>
    <w:p>
      <w:pPr>
        <w:numPr>
          <w:ilvl w:val="0"/>
          <w:numId w:val="1003"/>
        </w:numPr>
      </w:pPr>
      <w:r>
        <w:rPr>
          <w:b/>
          <w:bCs/>
        </w:rPr>
        <w:t xml:space="preserve">OPC UA Data Acquisition:</w:t>
      </w:r>
      <w:r>
        <w:t xml:space="preserve"> </w:t>
      </w:r>
      <w:r>
        <w:t xml:space="preserve">The Nova FLEX2 analyzer can act as or connect to an OPC server (Nova provides an OPC interface license</w:t>
      </w:r>
      <w:hyperlink r:id="rId26">
        <w:r>
          <w:rPr>
            <w:rStyle w:val="Hyperlink"/>
          </w:rPr>
          <w:t xml:space="preserve">[5]</w:t>
        </w:r>
      </w:hyperlink>
      <w:r>
        <w:t xml:space="preserve"> </w:t>
      </w:r>
      <w:r>
        <w:t xml:space="preserve">for integration). In this setup, either the instrument’s built-in OPC UA server or an OPC UA gateway PC polls the analyzer for new results when a sample is run. The MES instructs a sample draw and the operator still scans a barcode (the instrument or OPC server might log this ID as a tag). When analysis is complete, the OPC UA server has updated data points for that sample (e.g. tags like</w:t>
      </w:r>
      <w:r>
        <w:t xml:space="preserve"> </w:t>
      </w:r>
      <w:r>
        <w:rPr>
          <w:rStyle w:val="VerbatimChar"/>
        </w:rPr>
        <w:t xml:space="preserve">Analyzer1.Glucose</w:t>
      </w:r>
      <w:r>
        <w:t xml:space="preserve">,</w:t>
      </w:r>
      <w:r>
        <w:t xml:space="preserve"> </w:t>
      </w:r>
      <w:r>
        <w:rPr>
          <w:rStyle w:val="VerbatimChar"/>
        </w:rPr>
        <w:t xml:space="preserve">Analyzer1.Viability</w:t>
      </w:r>
      <w:r>
        <w:t xml:space="preserve">). A trigger mechanism (such as OPC UA events or simply a new timestamp on a “Result Ready” tag) can indicate to subscribers that new data is available.</w:t>
      </w:r>
    </w:p>
    <w:p>
      <w:pPr>
        <w:numPr>
          <w:ilvl w:val="0"/>
          <w:numId w:val="1003"/>
        </w:numPr>
      </w:pPr>
      <w:r>
        <w:rPr>
          <w:b/>
          <w:bCs/>
        </w:rPr>
        <w:t xml:space="preserve">PI Historian Capture:</w:t>
      </w:r>
      <w:r>
        <w:t xml:space="preserve"> </w:t>
      </w:r>
      <w:r>
        <w:t xml:space="preserve">A PI Interface or Connector subscribes to the OPC UA server and records the analyzer data in the PI historian in real time. Each measurement is stored as a PI tag value with a timestamp. To contextualize, the PI System can use Asset Framework (AF) and Event Frames: for example, when MES issues the sample instruction, it could send a message to PI to start an “Event Frame” for that sample/batch, or the PI system itself can detect a new result and create an event frame labeled with the Batch ID and Sample ID. This way, the raw numerical data is stored in PI (secured and time-stamped), and the</w:t>
      </w:r>
      <w:r>
        <w:t xml:space="preserve"> </w:t>
      </w:r>
      <w:r>
        <w:rPr>
          <w:b/>
          <w:bCs/>
        </w:rPr>
        <w:t xml:space="preserve">batch context</w:t>
      </w:r>
      <w:r>
        <w:t xml:space="preserve"> </w:t>
      </w:r>
      <w:r>
        <w:t xml:space="preserve">is attached in the historian (via AF metadata or event frame with batch number, step, etc.)</w:t>
      </w:r>
      <w:hyperlink r:id="rId36">
        <w:r>
          <w:rPr>
            <w:rStyle w:val="Hyperlink"/>
          </w:rPr>
          <w:t xml:space="preserve">[15]</w:t>
        </w:r>
      </w:hyperlink>
      <w:r>
        <w:t xml:space="preserve">. The EBR can later reference this context –</w:t>
      </w:r>
      <w:r>
        <w:t xml:space="preserve"> </w:t>
      </w:r>
      <w:r>
        <w:rPr>
          <w:i/>
          <w:iCs/>
        </w:rPr>
        <w:t xml:space="preserve">e.g.</w:t>
      </w:r>
      <w:r>
        <w:t xml:space="preserve">, PAS-X EBR might directly pull the value from PI or include a link to the PI record</w:t>
      </w:r>
      <w:hyperlink r:id="rId29">
        <w:r>
          <w:rPr>
            <w:rStyle w:val="Hyperlink"/>
          </w:rPr>
          <w:t xml:space="preserve">[8]</w:t>
        </w:r>
      </w:hyperlink>
      <w:r>
        <w:t xml:space="preserve">.</w:t>
      </w:r>
    </w:p>
    <w:p>
      <w:pPr>
        <w:numPr>
          <w:ilvl w:val="0"/>
          <w:numId w:val="1003"/>
        </w:numPr>
      </w:pPr>
      <w:r>
        <w:rPr>
          <w:b/>
          <w:bCs/>
        </w:rPr>
        <w:t xml:space="preserve">Historian as Source of Truth:</w:t>
      </w:r>
      <w:r>
        <w:t xml:space="preserve"> </w:t>
      </w:r>
      <w:r>
        <w:t xml:space="preserve">In this model, the PI historian is the first point of data storage, which is a common pattern in regulated environments. PI is a validated system for continuous data capture; it provides buffering (to disk) to prevent data loss if the network or server is down, and has built-in audit trails for data edits. Storing the analyzer result in PI ensures an</w:t>
      </w:r>
      <w:r>
        <w:t xml:space="preserve"> </w:t>
      </w:r>
      <w:r>
        <w:rPr>
          <w:b/>
          <w:bCs/>
        </w:rPr>
        <w:t xml:space="preserve">immutable, time-stamped record</w:t>
      </w:r>
      <w:r>
        <w:t xml:space="preserve"> </w:t>
      </w:r>
      <w:r>
        <w:t xml:space="preserve">is in place immediately. Contextualized data in PI (by linking to batch events)</w:t>
      </w:r>
      <w:r>
        <w:t xml:space="preserve"> </w:t>
      </w:r>
      <w:r>
        <w:rPr>
          <w:b/>
          <w:bCs/>
        </w:rPr>
        <w:t xml:space="preserve">enhances traceability and compliance by providing a clear audit trail of the process step</w:t>
      </w:r>
      <w:hyperlink r:id="rId22">
        <w:r>
          <w:rPr>
            <w:rStyle w:val="Hyperlink"/>
          </w:rPr>
          <w:t xml:space="preserve">[2]</w:t>
        </w:r>
      </w:hyperlink>
      <w:r>
        <w:t xml:space="preserve">, and the raw values are preserved as</w:t>
      </w:r>
      <w:r>
        <w:t xml:space="preserve"> </w:t>
      </w:r>
      <w:r>
        <w:rPr>
          <w:b/>
          <w:bCs/>
        </w:rPr>
        <w:t xml:space="preserve">original electronic records</w:t>
      </w:r>
      <w:r>
        <w:t xml:space="preserve">.</w:t>
      </w:r>
    </w:p>
    <w:p>
      <w:pPr>
        <w:numPr>
          <w:ilvl w:val="0"/>
          <w:numId w:val="1003"/>
        </w:numPr>
      </w:pPr>
      <w:r>
        <w:rPr>
          <w:b/>
          <w:bCs/>
        </w:rPr>
        <w:t xml:space="preserve">Downstream Event Forwarding:</w:t>
      </w:r>
      <w:r>
        <w:t xml:space="preserve"> </w:t>
      </w:r>
      <w:r>
        <w:t xml:space="preserve">Once the data is in PI (or simultaneously as it arrives), events can be forwarded to other systems. For example, PI’s Integrator for Business Analytics can stream data to Kafka in near-real-time</w:t>
      </w:r>
      <w:hyperlink r:id="rId37">
        <w:r>
          <w:rPr>
            <w:rStyle w:val="Hyperlink"/>
          </w:rPr>
          <w:t xml:space="preserve">[16]</w:t>
        </w:r>
      </w:hyperlink>
      <w:hyperlink r:id="rId38">
        <w:r>
          <w:rPr>
            <w:rStyle w:val="Hyperlink"/>
          </w:rPr>
          <w:t xml:space="preserve">[17]</w:t>
        </w:r>
      </w:hyperlink>
      <w:r>
        <w:t xml:space="preserve">. In practice, this could mean PI detects a new sample event and a small message (with Sample ID and values) is published to Kafka or MQTT for MES consumption. Alternatively, MES could query PI for the value: the MES EBR step could be configured to call a PI Web API or receive an update via OPC UA from PI. Both approaches ensure the MES gets the result to include in the EBR, but the</w:t>
      </w:r>
      <w:r>
        <w:t xml:space="preserve"> </w:t>
      </w:r>
      <w:r>
        <w:rPr>
          <w:b/>
          <w:bCs/>
        </w:rPr>
        <w:t xml:space="preserve">authoritative record</w:t>
      </w:r>
      <w:r>
        <w:t xml:space="preserve"> </w:t>
      </w:r>
      <w:r>
        <w:t xml:space="preserve">of the data remains in the historian. This historian-first approach aligns with a strategy some pharma companies use: PAS-X EBR references PI data for process values, and PI references the batch execution data from PAS-X to enrich its timeline</w:t>
      </w:r>
      <w:hyperlink r:id="rId36">
        <w:r>
          <w:rPr>
            <w:rStyle w:val="Hyperlink"/>
          </w:rPr>
          <w:t xml:space="preserve">[15]</w:t>
        </w:r>
      </w:hyperlink>
      <w:r>
        <w:t xml:space="preserve">. In essence, the MES and historian cross-reference each other to maintain one</w:t>
      </w:r>
      <w:r>
        <w:t xml:space="preserve"> </w:t>
      </w:r>
      <w:r>
        <w:rPr>
          <w:b/>
          <w:bCs/>
        </w:rPr>
        <w:t xml:space="preserve">source of truth</w:t>
      </w:r>
      <w:r>
        <w:t xml:space="preserve"> </w:t>
      </w:r>
      <w:r>
        <w:t xml:space="preserve">for each type of data (process data in PI, procedural data in MES).</w:t>
      </w:r>
    </w:p>
    <w:p>
      <w:pPr>
        <w:pStyle w:val="FirstParagraph"/>
      </w:pPr>
      <w:r>
        <w:rPr>
          <w:b/>
          <w:bCs/>
        </w:rPr>
        <w:t xml:space="preserve">Key advantages:</w:t>
      </w:r>
      <w:r>
        <w:t xml:space="preserve"> </w:t>
      </w:r>
      <w:r>
        <w:t xml:space="preserve">This option prioritizes data integrity and compliance by</w:t>
      </w:r>
      <w:r>
        <w:t xml:space="preserve"> </w:t>
      </w:r>
      <w:r>
        <w:rPr>
          <w:b/>
          <w:bCs/>
        </w:rPr>
        <w:t xml:space="preserve">capturing data in a secure historian before any further distribution</w:t>
      </w:r>
      <w:r>
        <w:t xml:space="preserve">. PI is a proven repository that can handle GxP data with robust security and auditing. The MES can trust that any values it pulls in have been securely stored and timestamped by PI (with proper sequence of events). Because PI is built for industrial reliability, it offers high availability configurations to minimize downtime. This design can ease validation concerns – PI and OPC are longstanding technologies in pharma manufacturing, often already validated; integrating new instrumentation via PI may fit into existing validation models. The approach also naturally creates a rich</w:t>
      </w:r>
      <w:r>
        <w:t xml:space="preserve"> </w:t>
      </w:r>
      <w:r>
        <w:rPr>
          <w:b/>
          <w:bCs/>
        </w:rPr>
        <w:t xml:space="preserve">contextualized dataset</w:t>
      </w:r>
      <w:r>
        <w:t xml:space="preserve"> </w:t>
      </w:r>
      <w:r>
        <w:t xml:space="preserve">in the historian for analysis – e.g. trending multiple batches, feeding process modeling tools – since all instrument data is in PI along with batch context. For analytics and reporting, users can leverage PI’s tools or export data knowing it’s all centralized.</w:t>
      </w:r>
    </w:p>
    <w:p>
      <w:pPr>
        <w:pStyle w:val="BodyText"/>
      </w:pPr>
      <w:r>
        <w:rPr>
          <w:b/>
          <w:bCs/>
        </w:rPr>
        <w:t xml:space="preserve">Challenges:</w:t>
      </w:r>
      <w:r>
        <w:t xml:space="preserve"> </w:t>
      </w:r>
      <w:r>
        <w:t xml:space="preserve">The extra step of going through a historian can introduce slight latency (though for 1-2 samples/day this is negligible). Complexity is higher: configuring OPC UA connections and PI AF/event frames requires coordination so that MES and PI share identifiers for batches and samples. There may be a need for custom scripting or middleware to initiate event frames or correlate sample IDs. Scaling to 10+ simultaneous batches is feasible, but PI licensing and performance should be considered if capturing many parameters – the data volume here is low, but if many instruments and frequent sampling were added, PI needs to handle burst data. Additionally, forwarding events from PI to Kafka/others means maintaining an integrator or interface service – another component to validate and maintain. Still, as noted by industry experts, many plants will operate in a hybrid model where</w:t>
      </w:r>
      <w:r>
        <w:t xml:space="preserve"> </w:t>
      </w:r>
      <w:r>
        <w:rPr>
          <w:b/>
          <w:bCs/>
        </w:rPr>
        <w:t xml:space="preserve">both legacy/historian-centric and modern MQTT integrations co-exist</w:t>
      </w:r>
      <w:r>
        <w:t xml:space="preserve">, and bridging these to a unified event platform (Kafka) is essential in brownfield environments</w:t>
      </w:r>
      <w:hyperlink r:id="rId39">
        <w:r>
          <w:rPr>
            <w:rStyle w:val="Hyperlink"/>
          </w:rPr>
          <w:t xml:space="preserve">[18]</w:t>
        </w:r>
      </w:hyperlink>
      <w:r>
        <w:t xml:space="preserve">. This ensures that whether data comes from OPC/PI or MQTT, it eventually lands in the same event stream accessible to all consumers.</w:t>
      </w:r>
    </w:p>
    <w:bookmarkEnd w:id="40"/>
    <w:bookmarkEnd w:id="41"/>
    <w:bookmarkStart w:id="46" w:name="X8ddd556a9a62ae7ec28843f9da411402d97f3ca"/>
    <w:p>
      <w:pPr>
        <w:pStyle w:val="Heading2"/>
      </w:pPr>
      <w:r>
        <w:t xml:space="preserve">Meeting GxP Requirements (Reliability, Traceability, Auditability, Resilience)</w:t>
      </w:r>
    </w:p>
    <w:p>
      <w:pPr>
        <w:pStyle w:val="FirstParagraph"/>
      </w:pPr>
      <w:r>
        <w:t xml:space="preserve">Any chosen architecture must fulfill GxP (Good Manufacturing Practice) expectations for data integrity and system performance:</w:t>
      </w:r>
    </w:p>
    <w:p>
      <w:pPr>
        <w:numPr>
          <w:ilvl w:val="0"/>
          <w:numId w:val="1004"/>
        </w:numPr>
      </w:pPr>
      <w:r>
        <w:rPr>
          <w:b/>
          <w:bCs/>
        </w:rPr>
        <w:t xml:space="preserve">Reliability &amp; Resilience:</w:t>
      </w:r>
      <w:r>
        <w:t xml:space="preserve"> </w:t>
      </w:r>
      <w:r>
        <w:t xml:space="preserve">The data transport should guarantee</w:t>
      </w:r>
      <w:r>
        <w:t xml:space="preserve"> </w:t>
      </w:r>
      <w:r>
        <w:rPr>
          <w:i/>
          <w:iCs/>
        </w:rPr>
        <w:t xml:space="preserve">no loss of data</w:t>
      </w:r>
      <w:r>
        <w:t xml:space="preserve">. Both MQTT and OPC/PI architectures can be made reliable via store-and-forward buffering. For MQTT, we would use persistent sessions and disk buffering on the edge and broker; high QoS levels ensure messages are delivered at least once even if network blips occur. Kafka as middleware is inherently log-based and persistent, so it will retain every message for consumption (with replication across brokers to prevent data loss). OPC interfaces and PI have built-in buffering – the PI OPC interface will queue data if the connection to the server is lost, for example, and forward when restored. We will implement redundant network paths or offline caching where appropriate. Additionally,</w:t>
      </w:r>
      <w:r>
        <w:t xml:space="preserve"> </w:t>
      </w:r>
      <w:r>
        <w:rPr>
          <w:b/>
          <w:bCs/>
        </w:rPr>
        <w:t xml:space="preserve">system uptime</w:t>
      </w:r>
      <w:r>
        <w:t xml:space="preserve"> </w:t>
      </w:r>
      <w:r>
        <w:t xml:space="preserve">is crucial: using clustered MQTT brokers and Kafka clusters, or a high-availability PI server setup, can achieve near</w:t>
      </w:r>
      <w:r>
        <w:t xml:space="preserve"> </w:t>
      </w:r>
      <w:r>
        <w:rPr>
          <w:b/>
          <w:bCs/>
        </w:rPr>
        <w:t xml:space="preserve">zero downtime</w:t>
      </w:r>
      <w:r>
        <w:t xml:space="preserve"> </w:t>
      </w:r>
      <w:r>
        <w:t xml:space="preserve">for the event pipeline</w:t>
      </w:r>
      <w:hyperlink r:id="rId33">
        <w:r>
          <w:rPr>
            <w:rStyle w:val="Hyperlink"/>
          </w:rPr>
          <w:t xml:space="preserve">[13]</w:t>
        </w:r>
      </w:hyperlink>
      <w:r>
        <w:t xml:space="preserve">. Any single point of failure (like the edge gateway PC) should have a mitigation (e.g. an uninterruptible power supply and automatic reboot procedures, or a second backup instrument integration path if one fails). Regular backups of configuration and data (especially the PI archives or Kafka logs) will be done to protect records.</w:t>
      </w:r>
    </w:p>
    <w:p>
      <w:pPr>
        <w:numPr>
          <w:ilvl w:val="0"/>
          <w:numId w:val="1004"/>
        </w:numPr>
      </w:pPr>
      <w:r>
        <w:rPr>
          <w:b/>
          <w:bCs/>
        </w:rPr>
        <w:t xml:space="preserve">Traceability:</w:t>
      </w:r>
      <w:r>
        <w:t xml:space="preserve"> </w:t>
      </w:r>
      <w:r>
        <w:t xml:space="preserve">Every step from sample collection to result posting must be traceable. This means unique IDs and timestamps at each stage. The architecture will enforce the use of unique Sample IDs (barcode-generated) that tie into the batch record. Each event message carries this ID, so it’s possible to trace a result in Kafka back to a specific batch instruction in MES. We will also tag messages with the</w:t>
      </w:r>
      <w:r>
        <w:t xml:space="preserve"> </w:t>
      </w:r>
      <w:r>
        <w:rPr>
          <w:b/>
          <w:bCs/>
        </w:rPr>
        <w:t xml:space="preserve">instrument ID</w:t>
      </w:r>
      <w:r>
        <w:t xml:space="preserve"> </w:t>
      </w:r>
      <w:r>
        <w:t xml:space="preserve">and a sequence number to trace back to the device’s raw output. In the MES EBR and PI historian, cross-references (like batch IDs, event frame IDs) ensure one can navigate from the batch record to the raw data and vice versa</w:t>
      </w:r>
      <w:hyperlink r:id="rId36">
        <w:r>
          <w:rPr>
            <w:rStyle w:val="Hyperlink"/>
          </w:rPr>
          <w:t xml:space="preserve">[15]</w:t>
        </w:r>
      </w:hyperlink>
      <w:r>
        <w:t xml:space="preserve">. All systems involved (MES, historian, broker) should be time-synchronized (e.g. via NTP) and record timestamps in a common format (preferably UTC with timezone or local with offset) for an accurate chronology. Operator actions (like the barcode scan or a manual data entry, if any) are recorded with user identifiers and timestamps in the MES’s audit trail. By design, the contextual data stored (batch, operator, etc.)</w:t>
      </w:r>
      <w:r>
        <w:t xml:space="preserve"> </w:t>
      </w:r>
      <w:r>
        <w:rPr>
          <w:b/>
          <w:bCs/>
        </w:rPr>
        <w:t xml:space="preserve">provides a clear audit trail</w:t>
      </w:r>
      <w:r>
        <w:t xml:space="preserve"> </w:t>
      </w:r>
      <w:r>
        <w:t xml:space="preserve">of how and when the data was produced</w:t>
      </w:r>
      <w:hyperlink r:id="rId22">
        <w:r>
          <w:rPr>
            <w:rStyle w:val="Hyperlink"/>
          </w:rPr>
          <w:t xml:space="preserve">[2]</w:t>
        </w:r>
      </w:hyperlink>
      <w:r>
        <w:t xml:space="preserve">.</w:t>
      </w:r>
    </w:p>
    <w:p>
      <w:pPr>
        <w:numPr>
          <w:ilvl w:val="0"/>
          <w:numId w:val="1004"/>
        </w:numPr>
      </w:pPr>
      <w:r>
        <w:rPr>
          <w:b/>
          <w:bCs/>
        </w:rPr>
        <w:t xml:space="preserve">Auditability:</w:t>
      </w:r>
      <w:r>
        <w:t xml:space="preserve"> </w:t>
      </w:r>
      <w:r>
        <w:t xml:space="preserve">GxP requires comprehensive audit trails. The MES PAS-X will log any data that is entered or modified in the batch record (including the automated result receipt, which would typically appear as a system entry with timestamp). The PI historian logs any manual data corrections or annotations made to data after the fact. The MQTT broker and Kafka can be configured to log metadata about message events (like connection logs, who published when, etc.), though often this is more at the infrastructure level. We will ensure that any transformation or processing of data is minimal and is documented – e.g., if the edge gateway reformats a unit or does a calculation, that must be recorded or validated to not alter the meaning of data. Ideally, we prefer to</w:t>
      </w:r>
      <w:r>
        <w:t xml:space="preserve"> </w:t>
      </w:r>
      <w:r>
        <w:rPr>
          <w:b/>
          <w:bCs/>
        </w:rPr>
        <w:t xml:space="preserve">capture raw data</w:t>
      </w:r>
      <w:r>
        <w:t xml:space="preserve"> </w:t>
      </w:r>
      <w:r>
        <w:t xml:space="preserve">(original analyzer output) and then add context as separate fields, rather than transform the raw values. All user interactions (like if an operator has to approve the result in the MES) will require electronic signature per</w:t>
      </w:r>
      <w:r>
        <w:t xml:space="preserve"> </w:t>
      </w:r>
      <w:r>
        <w:rPr>
          <w:b/>
          <w:bCs/>
        </w:rPr>
        <w:t xml:space="preserve">21 CFR Part 11</w:t>
      </w:r>
      <w:r>
        <w:t xml:space="preserve"> </w:t>
      </w:r>
      <w:r>
        <w:t xml:space="preserve">standards (MES handles this with its built-in functionality). The system should be tested to demonstrate</w:t>
      </w:r>
      <w:r>
        <w:t xml:space="preserve"> </w:t>
      </w:r>
      <w:r>
        <w:rPr>
          <w:b/>
          <w:bCs/>
        </w:rPr>
        <w:t xml:space="preserve">audit-ready reliability</w:t>
      </w:r>
      <w:r>
        <w:t xml:space="preserve">, meaning during validation we intentionally simulate faults (network down, etc.) and show that the system recovers without data loss or mis-sequencing</w:t>
      </w:r>
      <w:hyperlink r:id="rId24">
        <w:r>
          <w:rPr>
            <w:rStyle w:val="Hyperlink"/>
          </w:rPr>
          <w:t xml:space="preserve">[19]</w:t>
        </w:r>
      </w:hyperlink>
      <w:hyperlink r:id="rId42">
        <w:r>
          <w:rPr>
            <w:rStyle w:val="Hyperlink"/>
          </w:rPr>
          <w:t xml:space="preserve">[20]</w:t>
        </w:r>
      </w:hyperlink>
      <w:r>
        <w:t xml:space="preserve">.</w:t>
      </w:r>
    </w:p>
    <w:p>
      <w:pPr>
        <w:numPr>
          <w:ilvl w:val="0"/>
          <w:numId w:val="1004"/>
        </w:numPr>
      </w:pPr>
      <w:r>
        <w:rPr>
          <w:b/>
          <w:bCs/>
        </w:rPr>
        <w:t xml:space="preserve">Data Integrity (ALCOA+):</w:t>
      </w:r>
      <w:r>
        <w:t xml:space="preserve"> </w:t>
      </w:r>
      <w:r>
        <w:t xml:space="preserve">The architecture supports ALCOA+ principles: data is</w:t>
      </w:r>
      <w:r>
        <w:t xml:space="preserve"> </w:t>
      </w:r>
      <w:r>
        <w:rPr>
          <w:b/>
          <w:bCs/>
        </w:rPr>
        <w:t xml:space="preserve">Attributable</w:t>
      </w:r>
      <w:r>
        <w:t xml:space="preserve"> </w:t>
      </w:r>
      <w:r>
        <w:t xml:space="preserve">(tagged with who/what produced it – e.g. operator ID, instrument ID),</w:t>
      </w:r>
      <w:r>
        <w:t xml:space="preserve"> </w:t>
      </w:r>
      <w:r>
        <w:rPr>
          <w:b/>
          <w:bCs/>
        </w:rPr>
        <w:t xml:space="preserve">Legible</w:t>
      </w:r>
      <w:r>
        <w:t xml:space="preserve"> </w:t>
      </w:r>
      <w:r>
        <w:t xml:space="preserve">(stored in clear digital form with units/labels),</w:t>
      </w:r>
      <w:r>
        <w:t xml:space="preserve"> </w:t>
      </w:r>
      <w:r>
        <w:rPr>
          <w:b/>
          <w:bCs/>
        </w:rPr>
        <w:t xml:space="preserve">Contemporaneous</w:t>
      </w:r>
      <w:r>
        <w:t xml:space="preserve"> </w:t>
      </w:r>
      <w:r>
        <w:t xml:space="preserve">(time-stamped at generation),</w:t>
      </w:r>
      <w:r>
        <w:t xml:space="preserve"> </w:t>
      </w:r>
      <w:r>
        <w:rPr>
          <w:b/>
          <w:bCs/>
        </w:rPr>
        <w:t xml:space="preserve">Original</w:t>
      </w:r>
      <w:r>
        <w:t xml:space="preserve"> </w:t>
      </w:r>
      <w:r>
        <w:t xml:space="preserve">(we store the primary source data without unwarranted alteration), and</w:t>
      </w:r>
      <w:r>
        <w:t xml:space="preserve"> </w:t>
      </w:r>
      <w:r>
        <w:rPr>
          <w:b/>
          <w:bCs/>
        </w:rPr>
        <w:t xml:space="preserve">Accurate</w:t>
      </w:r>
      <w:r>
        <w:t xml:space="preserve"> </w:t>
      </w:r>
      <w:r>
        <w:t xml:space="preserve">(validated through system checks and calibrations). The inclusion of raw and contextual data ensures completeness – the raw numeric values are kept (e.g. in PI or as attachment in MES), and contextual data (batch, step, etc.) is linked so the data’s full meaning is preserved for later review</w:t>
      </w:r>
      <w:hyperlink r:id="rId21">
        <w:r>
          <w:rPr>
            <w:rStyle w:val="Hyperlink"/>
          </w:rPr>
          <w:t xml:space="preserve">[1]</w:t>
        </w:r>
      </w:hyperlink>
      <w:hyperlink r:id="rId43">
        <w:r>
          <w:rPr>
            <w:rStyle w:val="Hyperlink"/>
          </w:rPr>
          <w:t xml:space="preserve">[21]</w:t>
        </w:r>
      </w:hyperlink>
      <w:r>
        <w:t xml:space="preserve">. For example, if an auditor later wants to see the actual analyzer print-out or file, we could configure the FLEX2 to also output a report (PDF or text) that is saved and linked to the batch record as an attachment – preserving the original format. Meanwhile, the values are captured in structured form for analysis. The network security (user authentications, access controls) also falls under GxP – only authorized individuals/systems can trigger or modify data flows. Both OPC UA and MQTT support encryption and authentication; we will utilize those (e.g. certificates for OPC UA server, TLS and client certs for MQTT). This prevents unauthorized data injection or tampering, contributing to data integrity and trust in the system.</w:t>
      </w:r>
    </w:p>
    <w:p>
      <w:pPr>
        <w:numPr>
          <w:ilvl w:val="0"/>
          <w:numId w:val="1004"/>
        </w:numPr>
      </w:pPr>
      <w:r>
        <w:rPr>
          <w:b/>
          <w:bCs/>
        </w:rPr>
        <w:t xml:space="preserve">Resilience and Security in Network Design:</w:t>
      </w:r>
      <w:r>
        <w:t xml:space="preserve"> </w:t>
      </w:r>
      <w:r>
        <w:t xml:space="preserve">While currently there is no strict network segmentation, we acknowledge the need to protect data flows in a</w:t>
      </w:r>
      <w:r>
        <w:t xml:space="preserve"> </w:t>
      </w:r>
      <w:r>
        <w:rPr>
          <w:b/>
          <w:bCs/>
        </w:rPr>
        <w:t xml:space="preserve">converged plant-wide Ethernet</w:t>
      </w:r>
      <w:r>
        <w:t xml:space="preserve"> </w:t>
      </w:r>
      <w:r>
        <w:t xml:space="preserve">network. Following ISA-95 levels and</w:t>
      </w:r>
      <w:r>
        <w:t xml:space="preserve"> </w:t>
      </w:r>
      <w:r>
        <w:rPr>
          <w:b/>
          <w:bCs/>
        </w:rPr>
        <w:t xml:space="preserve">CPwE</w:t>
      </w:r>
      <w:r>
        <w:t xml:space="preserve"> </w:t>
      </w:r>
      <w:r>
        <w:t xml:space="preserve">(Converged Plantwide Ethernet) best practices, we would implement zones and conduits as needed – for instance, isolating the lab analyzer network on a VLAN or subnet and using an industrial firewall to control traffic to the enterprise layer. Cisco/Rockwell’s CPwE reference architectures provide guidance for a scalable, secure plant network</w:t>
      </w:r>
      <w:hyperlink r:id="rId44">
        <w:r>
          <w:rPr>
            <w:rStyle w:val="Hyperlink"/>
          </w:rPr>
          <w:t xml:space="preserve">[22]</w:t>
        </w:r>
      </w:hyperlink>
      <w:hyperlink r:id="rId45">
        <w:r>
          <w:rPr>
            <w:rStyle w:val="Hyperlink"/>
          </w:rPr>
          <w:t xml:space="preserve">[23]</w:t>
        </w:r>
      </w:hyperlink>
      <w:r>
        <w:t xml:space="preserve">. We recommend placing firewall rules between the OT devices (analyzers, PLCs) and the IT systems (MES server, cloud) so that only the required protocols (MQTT, OPC UA, HTTPS for APIs) are allowed. This reduces vulnerability while still allowing a smooth data flow. The design should include provisions for a demilitarized zone (industrial DMZ) if future external connections (like cloud or remote support) are added. All components should be hardened (e.g. disable unused services on the gateway PC, ensure latest patches on the Windows station running OPC, etc.) as part of compliance and cybersecurity expectations (which regulators increasingly scrutinize for data integrity risks).</w:t>
      </w:r>
    </w:p>
    <w:bookmarkEnd w:id="46"/>
    <w:bookmarkStart w:id="49" w:name="X301f80703e1f58fdf9af4164bc5e997bbd64291"/>
    <w:p>
      <w:pPr>
        <w:pStyle w:val="Heading2"/>
      </w:pPr>
      <w:r>
        <w:t xml:space="preserve">Data Flow and Electronic Batch Record (EBR) Association</w:t>
      </w:r>
    </w:p>
    <w:p>
      <w:pPr>
        <w:pStyle w:val="FirstParagraph"/>
      </w:pPr>
      <w:r>
        <w:t xml:space="preserve">Integrating the FLEX2 analyzer data with the</w:t>
      </w:r>
      <w:r>
        <w:t xml:space="preserve"> </w:t>
      </w:r>
      <w:r>
        <w:rPr>
          <w:b/>
          <w:bCs/>
        </w:rPr>
        <w:t xml:space="preserve">Electronic Batch Record</w:t>
      </w:r>
      <w:r>
        <w:t xml:space="preserve"> </w:t>
      </w:r>
      <w:r>
        <w:t xml:space="preserve">is a critical aspect of this strategy. Below is how the data flows and links to the EBR in a typical scenario:</w:t>
      </w:r>
    </w:p>
    <w:p>
      <w:pPr>
        <w:numPr>
          <w:ilvl w:val="0"/>
          <w:numId w:val="1005"/>
        </w:numPr>
      </w:pPr>
      <w:r>
        <w:rPr>
          <w:b/>
          <w:bCs/>
        </w:rPr>
        <w:t xml:space="preserve">Sample Request:</w:t>
      </w:r>
      <w:r>
        <w:t xml:space="preserve"> </w:t>
      </w:r>
      <w:r>
        <w:t xml:space="preserve">The process begins in the MES. The master batch recipe in PAS-X will have a step for “Off-line Cell Culture Analysis” (for example). When the batch execution reaches this step, MES issues an electronic prompt to the operator: e.g.</w:t>
      </w:r>
      <w:r>
        <w:t xml:space="preserve"> </w:t>
      </w:r>
      <w:r>
        <w:rPr>
          <w:i/>
          <w:iCs/>
        </w:rPr>
        <w:t xml:space="preserve">"Draw 10 mL sample from Bioreactor and analyze for X, Y, Z using Nova FLEX2."</w:t>
      </w:r>
      <w:r>
        <w:t xml:space="preserve"> </w:t>
      </w:r>
      <w:r>
        <w:t xml:space="preserve">This can also generate a unique Sample ID (often encoded in a barcode printed on a sample label). An event for this instruction can be published (optionally) to the event bus so that subscribing systems are aware a sample is being taken – this could trigger PI to open an event frame or simply be logged for traceability (even if the instrument integration doesn’t actively use it, it’s useful for end-to-end tracking).</w:t>
      </w:r>
    </w:p>
    <w:p>
      <w:pPr>
        <w:numPr>
          <w:ilvl w:val="0"/>
          <w:numId w:val="1005"/>
        </w:numPr>
      </w:pPr>
      <w:r>
        <w:rPr>
          <w:b/>
          <w:bCs/>
        </w:rPr>
        <w:t xml:space="preserve">Sample Analysis and Result Generation:</w:t>
      </w:r>
      <w:r>
        <w:t xml:space="preserve"> </w:t>
      </w:r>
      <w:r>
        <w:t xml:space="preserve">The operator physically takes the sample to the FLEX2 analyzer. They scan the sample’s barcode at the instrument or on a connected app, which associates the instrument run with that Sample ID (and by extension, the Batch ID). The instrument performs the analysis (this might take e.g. a few minutes). Once done, the result data is either polled by the integration software (in Option 1, the MQTT gateway app detects the new result; in Option 2, the PI/OPC interface reads new values from the analyzer). The raw data from the instrument – such as glucose = 1.8 g/L, pH = 7.2, cell viability = 95% – is captured along with the timestamp. This is the moment of data origination which we treat as a</w:t>
      </w:r>
      <w:r>
        <w:t xml:space="preserve"> </w:t>
      </w:r>
      <w:r>
        <w:rPr>
          <w:b/>
          <w:bCs/>
        </w:rPr>
        <w:t xml:space="preserve">critical control point</w:t>
      </w:r>
      <w:r>
        <w:t xml:space="preserve"> </w:t>
      </w:r>
      <w:r>
        <w:t xml:space="preserve">for data integrity.</w:t>
      </w:r>
    </w:p>
    <w:p>
      <w:pPr>
        <w:numPr>
          <w:ilvl w:val="0"/>
          <w:numId w:val="1005"/>
        </w:numPr>
      </w:pPr>
      <w:r>
        <w:rPr>
          <w:b/>
          <w:bCs/>
        </w:rPr>
        <w:t xml:space="preserve">Event Publication/Storage:</w:t>
      </w:r>
      <w:r>
        <w:t xml:space="preserve"> </w:t>
      </w:r>
      <w:r>
        <w:t xml:space="preserve">Immediately, the integration layer attaches contextual metadata (Sample ID, instrument, etc.) and either publishes an event (MQTT message) or stores it in PI (with an event frame). In both architectures, the data is now</w:t>
      </w:r>
      <w:r>
        <w:t xml:space="preserve"> </w:t>
      </w:r>
      <w:r>
        <w:rPr>
          <w:b/>
          <w:bCs/>
        </w:rPr>
        <w:t xml:space="preserve">digitally available with context</w:t>
      </w:r>
      <w:r>
        <w:t xml:space="preserve">. For example, in Option 1 an MQTT message like</w:t>
      </w:r>
      <w:r>
        <w:t xml:space="preserve"> </w:t>
      </w:r>
      <w:r>
        <w:rPr>
          <w:rStyle w:val="VerbatimChar"/>
        </w:rPr>
        <w:t xml:space="preserve">{ "sampleId": "BR1001-SMP-003", "batch": "BR1001", "analyzer": "FLEX2_#5", "timestamp": "2025-12-16T14:30:00Z", "glucose": 1.8, "pH": 7.2, ... }</w:t>
      </w:r>
      <w:r>
        <w:t xml:space="preserve"> </w:t>
      </w:r>
      <w:r>
        <w:t xml:space="preserve">is sent. In Option 2, PI tags like</w:t>
      </w:r>
      <w:r>
        <w:t xml:space="preserve"> </w:t>
      </w:r>
      <w:r>
        <w:rPr>
          <w:rStyle w:val="VerbatimChar"/>
        </w:rPr>
        <w:t xml:space="preserve">FLEX2_5.Glucose</w:t>
      </w:r>
      <w:r>
        <w:t xml:space="preserve"> </w:t>
      </w:r>
      <w:r>
        <w:t xml:space="preserve">receive the value 1.8 at that timestamp and an event frame "BR1001-SMP-003" is created linking that value to batch "BR1001". The raw result can also be flagged for PI compression (to always store the exact value) or marked in MQTT as retained message if needed, to ensure it’s persisted.</w:t>
      </w:r>
    </w:p>
    <w:p>
      <w:pPr>
        <w:numPr>
          <w:ilvl w:val="0"/>
          <w:numId w:val="1005"/>
        </w:numPr>
      </w:pPr>
      <w:r>
        <w:rPr>
          <w:b/>
          <w:bCs/>
        </w:rPr>
        <w:t xml:space="preserve">MES EBR Update:</w:t>
      </w:r>
      <w:r>
        <w:t xml:space="preserve"> </w:t>
      </w:r>
      <w:r>
        <w:t xml:space="preserve">The MES is waiting for the result to complete the step. There are a few ways this linkage can occur:</w:t>
      </w:r>
    </w:p>
    <w:p>
      <w:pPr>
        <w:pStyle w:val="Compact"/>
        <w:numPr>
          <w:ilvl w:val="0"/>
          <w:numId w:val="1005"/>
        </w:numPr>
      </w:pPr>
      <w:r>
        <w:rPr>
          <w:b/>
          <w:bCs/>
        </w:rPr>
        <w:t xml:space="preserve">Push to MES:</w:t>
      </w:r>
      <w:r>
        <w:t xml:space="preserve"> </w:t>
      </w:r>
      <w:r>
        <w:t xml:space="preserve">A middleware service listening on the event bus takes the payload and calls MES’s API. For example, PAS-X has a web service or MQTT interface in some setups; the service would send the sample ID and results to that interface. MES then automatically populates the EBR fields for that test and marks the step as completed (perhaps pending QA approval). The operator might see on their MES screen that results have been received. This push method is near real-time.</w:t>
      </w:r>
    </w:p>
    <w:p>
      <w:pPr>
        <w:numPr>
          <w:ilvl w:val="0"/>
          <w:numId w:val="1005"/>
        </w:numPr>
      </w:pPr>
      <w:r>
        <w:rPr>
          <w:b/>
          <w:bCs/>
        </w:rPr>
        <w:t xml:space="preserve">Pull by MES:</w:t>
      </w:r>
      <w:r>
        <w:t xml:space="preserve"> </w:t>
      </w:r>
      <w:r>
        <w:t xml:space="preserve">Alternatively, MES could periodically query the historian or integration layer. In a PI scenario, PAS-X could use a PI connector or OPC UA client to fetch the latest value for "glucose for sample X" once the operator indicates the test is done. Historically, solutions like Werum’s MSI (Manufacturing Service Bus) allowed PAS-X to subscribe to OPC events or PI data</w:t>
      </w:r>
      <w:hyperlink r:id="rId47">
        <w:r>
          <w:rPr>
            <w:rStyle w:val="Hyperlink"/>
          </w:rPr>
          <w:t xml:space="preserve">[24]</w:t>
        </w:r>
      </w:hyperlink>
      <w:r>
        <w:t xml:space="preserve">. Regardless of mechanism, the MES receives the data and links it to the correct batch record entry. The batch record now contains the test result (either as a copied value or a pointer to PI). Notably, Janssen (J&amp;J) and others have used approaches where</w:t>
      </w:r>
      <w:r>
        <w:t xml:space="preserve"> </w:t>
      </w:r>
      <w:r>
        <w:rPr>
          <w:i/>
          <w:iCs/>
        </w:rPr>
        <w:t xml:space="preserve">the EBR references the PI System data</w:t>
      </w:r>
      <w:r>
        <w:t xml:space="preserve"> </w:t>
      </w:r>
      <w:r>
        <w:t xml:space="preserve">rather than duplicating it</w:t>
      </w:r>
      <w:hyperlink r:id="rId36">
        <w:r>
          <w:rPr>
            <w:rStyle w:val="Hyperlink"/>
          </w:rPr>
          <w:t xml:space="preserve">[15]</w:t>
        </w:r>
      </w:hyperlink>
      <w:r>
        <w:t xml:space="preserve"> </w:t>
      </w:r>
      <w:r>
        <w:t xml:space="preserve">– e.g. the EBR step might just store a PI Event Frame ID. This avoids data inconsistencies and leverages the historian for storage. In other cases, the value is stored in the MES database for compliance but the full trend lives in PI.</w:t>
      </w:r>
    </w:p>
    <w:p>
      <w:pPr>
        <w:numPr>
          <w:ilvl w:val="0"/>
          <w:numId w:val="1005"/>
        </w:numPr>
      </w:pPr>
      <w:r>
        <w:rPr>
          <w:b/>
          <w:bCs/>
        </w:rPr>
        <w:t xml:space="preserve">Confirmation and Contextualization:</w:t>
      </w:r>
      <w:r>
        <w:t xml:space="preserve"> </w:t>
      </w:r>
      <w:r>
        <w:t xml:space="preserve">With the result in MES, the operator can be prompted to confirm if required (or it can be automatic). The MES will record who reviewed or released the result (QA may have to electronically sign if it's a quality-critical parameter out of range). The data now lives in multiple layers: the</w:t>
      </w:r>
      <w:r>
        <w:t xml:space="preserve"> </w:t>
      </w:r>
      <w:r>
        <w:rPr>
          <w:b/>
          <w:bCs/>
        </w:rPr>
        <w:t xml:space="preserve">raw data</w:t>
      </w:r>
      <w:r>
        <w:t xml:space="preserve"> </w:t>
      </w:r>
      <w:r>
        <w:t xml:space="preserve">is in the instrument’s output (and captured in PI or as a file), and the</w:t>
      </w:r>
      <w:r>
        <w:t xml:space="preserve"> </w:t>
      </w:r>
      <w:r>
        <w:rPr>
          <w:b/>
          <w:bCs/>
        </w:rPr>
        <w:t xml:space="preserve">contextualized data</w:t>
      </w:r>
      <w:r>
        <w:t xml:space="preserve"> </w:t>
      </w:r>
      <w:r>
        <w:t xml:space="preserve">is in MES (linked to batch and step). This duality satisfies both compliance (original data retained) and insight needs (data is contextual and available for aggregate analysis). Contextual data is extremely valuable because it enables comparing that result against process parameters and historical trends easily</w:t>
      </w:r>
      <w:hyperlink r:id="rId23">
        <w:r>
          <w:rPr>
            <w:rStyle w:val="Hyperlink"/>
          </w:rPr>
          <w:t xml:space="preserve">[3]</w:t>
        </w:r>
      </w:hyperlink>
      <w:r>
        <w:t xml:space="preserve">. For instance, one can query in PI or a data platform: “show all glucose readings at the fermentation midpoint for all batches of product X” to see if this batch is on track.</w:t>
      </w:r>
    </w:p>
    <w:p>
      <w:pPr>
        <w:numPr>
          <w:ilvl w:val="0"/>
          <w:numId w:val="1005"/>
        </w:numPr>
      </w:pPr>
      <w:r>
        <w:rPr>
          <w:b/>
          <w:bCs/>
        </w:rPr>
        <w:t xml:space="preserve">Exception Handling:</w:t>
      </w:r>
      <w:r>
        <w:t xml:space="preserve"> </w:t>
      </w:r>
      <w:r>
        <w:t xml:space="preserve">If the instrument reading is out-of-spec, the event-driven system can immediately raise an alert. For example, a Kafka consumer could detect when a result exceeds limits and notify the control room or create a deviation record. The MES can also be configured to flag deviations based on the received value. All such events would be logged. Similarly, if a result fails to come (e.g. instrument failure), timeouts can be set in MES to alert an operator or trigger a backup procedure. These are part of the workflow design to ensure no news is not lost news.</w:t>
      </w:r>
    </w:p>
    <w:p>
      <w:pPr>
        <w:pStyle w:val="FirstParagraph"/>
      </w:pPr>
      <w:r>
        <w:t xml:space="preserve">Overall, this data flow ensures that the</w:t>
      </w:r>
      <w:r>
        <w:t xml:space="preserve"> </w:t>
      </w:r>
      <w:r>
        <w:rPr>
          <w:b/>
          <w:bCs/>
        </w:rPr>
        <w:t xml:space="preserve">electronic batch record automatically receives laboratory results with minimal latency and maximal fidelity</w:t>
      </w:r>
      <w:r>
        <w:t xml:space="preserve">, linking machine data to the human workflow. Both architectures achieve the same end-result for the EBR; they differ mainly in whether data is first stored in the historian or pushed directly through an event broker. In either case, the batch record and historian cross-reference provides a complete picture: MES holds the procedural context and final decision records, while the historian (or connected data lake) holds the detailed analytical data in context. This dual record system is common in pharma – it provides</w:t>
      </w:r>
      <w:r>
        <w:t xml:space="preserve"> </w:t>
      </w:r>
      <w:r>
        <w:rPr>
          <w:b/>
          <w:bCs/>
        </w:rPr>
        <w:t xml:space="preserve">compliance</w:t>
      </w:r>
      <w:r>
        <w:t xml:space="preserve"> </w:t>
      </w:r>
      <w:r>
        <w:t xml:space="preserve">(through controlled MES workflow and audit trails) and</w:t>
      </w:r>
      <w:r>
        <w:t xml:space="preserve"> </w:t>
      </w:r>
      <w:r>
        <w:rPr>
          <w:b/>
          <w:bCs/>
        </w:rPr>
        <w:t xml:space="preserve">process insight</w:t>
      </w:r>
      <w:r>
        <w:t xml:space="preserve"> </w:t>
      </w:r>
      <w:r>
        <w:t xml:space="preserve">(through rich data in historian) without compromising one or the other</w:t>
      </w:r>
      <w:hyperlink r:id="rId22">
        <w:r>
          <w:rPr>
            <w:rStyle w:val="Hyperlink"/>
          </w:rPr>
          <w:t xml:space="preserve">[2]</w:t>
        </w:r>
      </w:hyperlink>
      <w:hyperlink r:id="rId48">
        <w:r>
          <w:rPr>
            <w:rStyle w:val="Hyperlink"/>
          </w:rPr>
          <w:t xml:space="preserve">[25]</w:t>
        </w:r>
      </w:hyperlink>
      <w:r>
        <w:t xml:space="preserve">.</w:t>
      </w:r>
    </w:p>
    <w:bookmarkEnd w:id="49"/>
    <w:bookmarkStart w:id="55" w:name="Xef1649d727c0ea8fb1a15f21ccf3d7a9977b8db"/>
    <w:p>
      <w:pPr>
        <w:pStyle w:val="Heading2"/>
      </w:pPr>
      <w:r>
        <w:t xml:space="preserve">Recommendations for Instrument Integration and Sample Contextualization</w:t>
      </w:r>
    </w:p>
    <w:p>
      <w:pPr>
        <w:pStyle w:val="FirstParagraph"/>
      </w:pPr>
      <w:r>
        <w:t xml:space="preserve">Based on the above, here are key recommendations for successfully integrating the Nova BioProfile FLEX2 and contextualizing its data in a GxP-compliant, event-driven architecture:</w:t>
      </w:r>
    </w:p>
    <w:p>
      <w:pPr>
        <w:numPr>
          <w:ilvl w:val="0"/>
          <w:numId w:val="1006"/>
        </w:numPr>
      </w:pPr>
      <w:r>
        <w:rPr>
          <w:b/>
          <w:bCs/>
        </w:rPr>
        <w:t xml:space="preserve">Use Standard Protocols &amp; Gateways:</w:t>
      </w:r>
      <w:r>
        <w:t xml:space="preserve"> </w:t>
      </w:r>
      <w:r>
        <w:t xml:space="preserve">Leverage the FLEX2’s</w:t>
      </w:r>
      <w:r>
        <w:t xml:space="preserve"> </w:t>
      </w:r>
      <w:r>
        <w:rPr>
          <w:b/>
          <w:bCs/>
        </w:rPr>
        <w:t xml:space="preserve">OPC connectivity</w:t>
      </w:r>
      <w:r>
        <w:t xml:space="preserve"> </w:t>
      </w:r>
      <w:r>
        <w:t xml:space="preserve">for integration whenever possible, as it is vendor-supported and designed for compatibility</w:t>
      </w:r>
      <w:hyperlink r:id="rId26">
        <w:r>
          <w:rPr>
            <w:rStyle w:val="Hyperlink"/>
          </w:rPr>
          <w:t xml:space="preserve">[5]</w:t>
        </w:r>
      </w:hyperlink>
      <w:r>
        <w:t xml:space="preserve">. For modern architectures, pair the analyzer with an edge gateway that can speak OPC UA to the instrument but publish MQTT to the enterprise. Avoid custom one-off interfaces; using</w:t>
      </w:r>
      <w:r>
        <w:t xml:space="preserve"> </w:t>
      </w:r>
      <w:r>
        <w:rPr>
          <w:b/>
          <w:bCs/>
        </w:rPr>
        <w:t xml:space="preserve">standard protocols (MQTT, OPC UA, Kafka)</w:t>
      </w:r>
      <w:r>
        <w:t xml:space="preserve"> </w:t>
      </w:r>
      <w:r>
        <w:t xml:space="preserve">not only eases integration but also simplifies validation (these protocols and their libraries are well-tested). If using MQTT, consider adopting the</w:t>
      </w:r>
      <w:r>
        <w:t xml:space="preserve"> </w:t>
      </w:r>
      <w:r>
        <w:rPr>
          <w:b/>
          <w:bCs/>
        </w:rPr>
        <w:t xml:space="preserve">Sparkplug B</w:t>
      </w:r>
      <w:r>
        <w:t xml:space="preserve"> </w:t>
      </w:r>
      <w:r>
        <w:t xml:space="preserve">payload format or a unified topic namespace to include rich metadata (Sparkplug is designed for industrial MQTT to ensure interoperability and semantic data sharing). Standardization will make it easier to scale to additional instruments and batches.</w:t>
      </w:r>
    </w:p>
    <w:p>
      <w:pPr>
        <w:numPr>
          <w:ilvl w:val="0"/>
          <w:numId w:val="1006"/>
        </w:numPr>
      </w:pPr>
      <w:r>
        <w:rPr>
          <w:b/>
          <w:bCs/>
        </w:rPr>
        <w:t xml:space="preserve">Ensure Unique Identification and Context Linking:</w:t>
      </w:r>
      <w:r>
        <w:t xml:space="preserve"> </w:t>
      </w:r>
      <w:r>
        <w:t xml:space="preserve">Implement a robust scheme for IDs – each sample should have a unique identifier that ties together the MES instruction, the physical sample label, the analyzer result, and the historian record. The MES is typically the source of truth for batch and sample IDs, so use that. Configure the FLEX2 or its software to input or receive that ID (e.g., scanning a barcode into the analyzer’s sample ID field, or selecting the batch from a list). This ID should travel with the data. This practice will</w:t>
      </w:r>
      <w:r>
        <w:t xml:space="preserve"> </w:t>
      </w:r>
      <w:r>
        <w:rPr>
          <w:b/>
          <w:bCs/>
        </w:rPr>
        <w:t xml:space="preserve">eliminate manual transcription</w:t>
      </w:r>
      <w:r>
        <w:t xml:space="preserve"> </w:t>
      </w:r>
      <w:r>
        <w:t xml:space="preserve">and guarantee that the data is correctly contextualized to the batch process. Additionally, include other context in the data payload: e.g., batch recipe step number, product code, etc., so that downstream analytics can easily filter and group data by these attributes without requiring separate MES queries.</w:t>
      </w:r>
    </w:p>
    <w:p>
      <w:pPr>
        <w:numPr>
          <w:ilvl w:val="0"/>
          <w:numId w:val="1006"/>
        </w:numPr>
      </w:pPr>
      <w:r>
        <w:rPr>
          <w:b/>
          <w:bCs/>
        </w:rPr>
        <w:t xml:space="preserve">Barcode Scanning &amp; Digital Workflow:</w:t>
      </w:r>
      <w:r>
        <w:t xml:space="preserve"> </w:t>
      </w:r>
      <w:r>
        <w:t xml:space="preserve">Invest in barcode readers and possibly a tablet or terminal by the analyzer so operators can conveniently interact with the digital workflow. The scanner should feed into both the MES (to confirm the right sample is being taken) and the analyzer (to tag the sample run). The</w:t>
      </w:r>
      <w:r>
        <w:t xml:space="preserve"> </w:t>
      </w:r>
      <w:r>
        <w:rPr>
          <w:b/>
          <w:bCs/>
        </w:rPr>
        <w:t xml:space="preserve">digital logbook</w:t>
      </w:r>
      <w:r>
        <w:t xml:space="preserve"> </w:t>
      </w:r>
      <w:r>
        <w:t xml:space="preserve">functionality should be integrated such that when an operator scans and starts a test, it’s automatically recorded (who did it, when) in the MES or an electronic log, and when the result comes back, the log is updated. Eliminate any need for the operator to manually re-key results; their role should be reduced to scanning and confirming. This not only saves time but also enhances data integrity (reducing human error). Provide training so that operators trust the system and follow the barcode procedure every time – consistency is key for traceability.</w:t>
      </w:r>
    </w:p>
    <w:p>
      <w:pPr>
        <w:numPr>
          <w:ilvl w:val="0"/>
          <w:numId w:val="1006"/>
        </w:numPr>
      </w:pPr>
      <w:r>
        <w:rPr>
          <w:b/>
          <w:bCs/>
        </w:rPr>
        <w:t xml:space="preserve">Contextual Data Mapping:</w:t>
      </w:r>
      <w:r>
        <w:t xml:space="preserve"> </w:t>
      </w:r>
      <w:r>
        <w:t xml:space="preserve">Work with process engineers and QA to define what contextual information is needed for each data point to be meaningful. At minimum, each analyzer result should be mapped to: which batch, which bioreactor (if multiple equipment lines), which time in process (elapsed day or specific step), who performed it, and perhaps the method version or instrument calibration status. Some of this can be pulled from MES (batch, step, user), some from the instrument or LIMS if applicable (e.g., method). Design your data model so that when a dataset is pulled later, one can easily filter or join on these context fields.</w:t>
      </w:r>
      <w:r>
        <w:t xml:space="preserve"> </w:t>
      </w:r>
      <w:r>
        <w:rPr>
          <w:b/>
          <w:bCs/>
        </w:rPr>
        <w:t xml:space="preserve">Contextualized data lays the foundation for advanced analytics and efficient compliance reporting</w:t>
      </w:r>
      <w:hyperlink r:id="rId23">
        <w:r>
          <w:rPr>
            <w:rStyle w:val="Hyperlink"/>
            <w:b/>
            <w:bCs/>
          </w:rPr>
          <w:t xml:space="preserve">[3]</w:t>
        </w:r>
      </w:hyperlink>
      <w:hyperlink r:id="rId50">
        <w:r>
          <w:rPr>
            <w:rStyle w:val="Hyperlink"/>
            <w:b/>
            <w:bCs/>
          </w:rPr>
          <w:t xml:space="preserve">[26]</w:t>
        </w:r>
      </w:hyperlink>
      <w:r>
        <w:t xml:space="preserve"> </w:t>
      </w:r>
      <w:r>
        <w:t xml:space="preserve">– for example, being able to show in one report the process variables (from PI) alongside the lab results for each batch, to see correlations. Leverage historian</w:t>
      </w:r>
      <w:r>
        <w:t xml:space="preserve"> </w:t>
      </w:r>
      <w:r>
        <w:rPr>
          <w:b/>
          <w:bCs/>
        </w:rPr>
        <w:t xml:space="preserve">Asset Framework or MES master data</w:t>
      </w:r>
      <w:r>
        <w:t xml:space="preserve"> </w:t>
      </w:r>
      <w:r>
        <w:t xml:space="preserve">to store this mapping – for instance, register the FLEX2 analyzer as an asset in PI AF and under each batch event frame, store attributes for each analyte. Or configure Kafka messages to include a standardized header with key context fields.</w:t>
      </w:r>
    </w:p>
    <w:p>
      <w:pPr>
        <w:numPr>
          <w:ilvl w:val="0"/>
          <w:numId w:val="1006"/>
        </w:numPr>
      </w:pPr>
      <w:r>
        <w:rPr>
          <w:b/>
          <w:bCs/>
        </w:rPr>
        <w:t xml:space="preserve">Historian and Data Lake Integration:</w:t>
      </w:r>
      <w:r>
        <w:t xml:space="preserve"> </w:t>
      </w:r>
      <w:r>
        <w:t xml:space="preserve">Even if using the direct MQTT approach, we</w:t>
      </w:r>
      <w:r>
        <w:t xml:space="preserve"> </w:t>
      </w:r>
      <w:r>
        <w:rPr>
          <w:b/>
          <w:bCs/>
        </w:rPr>
        <w:t xml:space="preserve">recommend feeding the data into a historian or data lake</w:t>
      </w:r>
      <w:r>
        <w:t xml:space="preserve"> </w:t>
      </w:r>
      <w:r>
        <w:t xml:space="preserve">in addition to the MES. The PI System is a good choice for time-series process data, and as noted, it can easily consume MQTT or Kafka feeds with the right connectors. By centralizing all raw data in a historian, you ensure long-term retention and one-stop access for audits or process investigations. Contextualization can be done in the historian (by aligning data with batch timelines) which</w:t>
      </w:r>
      <w:r>
        <w:t xml:space="preserve"> </w:t>
      </w:r>
      <w:r>
        <w:rPr>
          <w:b/>
          <w:bCs/>
        </w:rPr>
        <w:t xml:space="preserve">improves traceability and eases compliance audits</w:t>
      </w:r>
      <w:hyperlink r:id="rId22">
        <w:r>
          <w:rPr>
            <w:rStyle w:val="Hyperlink"/>
            <w:b/>
            <w:bCs/>
          </w:rPr>
          <w:t xml:space="preserve">[2]</w:t>
        </w:r>
      </w:hyperlink>
      <w:r>
        <w:t xml:space="preserve">. If a cloud data lake or analytics platform is in play (for example, for multivariate analysis or AI), use Kafka as the conduit to feed those systems in real time. The strategy should thus incorporate both on-premise historian for GMP-critical data and possibly cloud analytics for advanced processing, with clear demarcation of validated data versus exploratory analytics. Any data lake receiving GMP data must either be validated or only used for non-decision-making insights (unless/until validated).</w:t>
      </w:r>
    </w:p>
    <w:p>
      <w:pPr>
        <w:numPr>
          <w:ilvl w:val="0"/>
          <w:numId w:val="1006"/>
        </w:numPr>
      </w:pPr>
      <w:r>
        <w:rPr>
          <w:b/>
          <w:bCs/>
        </w:rPr>
        <w:t xml:space="preserve">Network and Security Considerations:</w:t>
      </w:r>
      <w:r>
        <w:t xml:space="preserve"> </w:t>
      </w:r>
      <w:r>
        <w:t xml:space="preserve">Plan the network layout for the analyzer integration with security in mind. Even though currently there is an open network, introducing an IoT-style integration means we should isolate the instrument traffic to prevent any unauthorized access or interference. Use a separate VLAN or subnet for lab instruments and put an</w:t>
      </w:r>
      <w:r>
        <w:t xml:space="preserve"> </w:t>
      </w:r>
      <w:r>
        <w:rPr>
          <w:b/>
          <w:bCs/>
        </w:rPr>
        <w:t xml:space="preserve">industrial firewall</w:t>
      </w:r>
      <w:r>
        <w:t xml:space="preserve"> </w:t>
      </w:r>
      <w:r>
        <w:t xml:space="preserve">at its boundary to filter traffic</w:t>
      </w:r>
      <w:hyperlink r:id="rId45">
        <w:r>
          <w:rPr>
            <w:rStyle w:val="Hyperlink"/>
          </w:rPr>
          <w:t xml:space="preserve">[23]</w:t>
        </w:r>
      </w:hyperlink>
      <w:hyperlink r:id="rId51">
        <w:r>
          <w:rPr>
            <w:rStyle w:val="Hyperlink"/>
          </w:rPr>
          <w:t xml:space="preserve">[27]</w:t>
        </w:r>
      </w:hyperlink>
      <w:r>
        <w:t xml:space="preserve">. Only the necessary ports/protocols (OPC UA, MQTT, NTP for time sync, etc.) should be allowed to the specific integration servers. Ensure the MQTT broker and PI server sit in a secure zone (e.g. a plant operations network) with controlled access from the corporate network. Leverage Active Directory or similar for user authentication to MES and PI, so that user actions are tied to corporate identities (this helps with compliance and audit trails). In addition, apply</w:t>
      </w:r>
      <w:r>
        <w:t xml:space="preserve"> </w:t>
      </w:r>
      <w:r>
        <w:rPr>
          <w:b/>
          <w:bCs/>
        </w:rPr>
        <w:t xml:space="preserve">computer system validation (CSV)</w:t>
      </w:r>
      <w:r>
        <w:t xml:space="preserve"> </w:t>
      </w:r>
      <w:r>
        <w:t xml:space="preserve">procedures to all integration components: document requirements, perform IQ/OQ/PQ (Installation/Operational/Performance Qualification) tests to verify that, for instance, a lost MQTT connection does not result in data loss (test the buffer feature), or that the system correctly rejects a corrupted data packet, etc. These validation activities, while time-consuming, will pay off by demonstrating to auditors that the digital architecture is under control and reliable.</w:t>
      </w:r>
    </w:p>
    <w:p>
      <w:pPr>
        <w:numPr>
          <w:ilvl w:val="0"/>
          <w:numId w:val="1006"/>
        </w:numPr>
      </w:pPr>
      <w:r>
        <w:rPr>
          <w:b/>
          <w:bCs/>
        </w:rPr>
        <w:t xml:space="preserve">Scalability and Future-Proofing:</w:t>
      </w:r>
      <w:r>
        <w:t xml:space="preserve"> </w:t>
      </w:r>
      <w:r>
        <w:t xml:space="preserve">Design the solution not just for the current one analyzer or 10 batches, but with future expansion in mind. This means using</w:t>
      </w:r>
      <w:r>
        <w:t xml:space="preserve"> </w:t>
      </w:r>
      <w:r>
        <w:rPr>
          <w:b/>
          <w:bCs/>
        </w:rPr>
        <w:t xml:space="preserve">loosely coupled, event-driven principles</w:t>
      </w:r>
      <w:r>
        <w:t xml:space="preserve"> </w:t>
      </w:r>
      <w:r>
        <w:t xml:space="preserve">so new instruments or additional batches can be added with minimal changes. For example, if a new type of analyzer or a second FLEX2 is added, the architecture should handle it by configuration (new MQTT topic or new PI tags) rather than redesign. Kafka and MQTT are highly scalable by nature – they can handle increased throughput. PAS-X and PI are also scalable but may require hardware scaling or additional licenses for more tags; plan for that in budget if you foresee growth. Embrace a</w:t>
      </w:r>
      <w:r>
        <w:t xml:space="preserve"> </w:t>
      </w:r>
      <w:r>
        <w:rPr>
          <w:b/>
          <w:bCs/>
        </w:rPr>
        <w:t xml:space="preserve">unified namespace approach</w:t>
      </w:r>
      <w:r>
        <w:t xml:space="preserve"> </w:t>
      </w:r>
      <w:r>
        <w:t xml:space="preserve">where all data has a common structure – this can make future integration of different equipment easier</w:t>
      </w:r>
      <w:hyperlink r:id="rId30">
        <w:r>
          <w:rPr>
            <w:rStyle w:val="Hyperlink"/>
          </w:rPr>
          <w:t xml:space="preserve">[9]</w:t>
        </w:r>
      </w:hyperlink>
      <w:hyperlink r:id="rId31">
        <w:r>
          <w:rPr>
            <w:rStyle w:val="Hyperlink"/>
          </w:rPr>
          <w:t xml:space="preserve">[10]</w:t>
        </w:r>
      </w:hyperlink>
      <w:r>
        <w:t xml:space="preserve">. Document the data flows and schemas so that maintenance engineers know how data from any instrument flows to the MES and other systems. Also keep an eye on emerging standards: for instance, OPC UA FX (field eXchange) or NAMUR Open Architecture; the system should be modular enough to adopt new standards if they bring value (like enhanced security or plug-and-produce capability).</w:t>
      </w:r>
    </w:p>
    <w:p>
      <w:pPr>
        <w:numPr>
          <w:ilvl w:val="0"/>
          <w:numId w:val="1006"/>
        </w:numPr>
      </w:pPr>
      <w:r>
        <w:rPr>
          <w:b/>
          <w:bCs/>
        </w:rPr>
        <w:t xml:space="preserve">Instrument Integration Best Practices:</w:t>
      </w:r>
      <w:r>
        <w:t xml:space="preserve"> </w:t>
      </w:r>
      <w:r>
        <w:t xml:space="preserve">Work with Nova Biomedical (the vendor) to use any</w:t>
      </w:r>
      <w:r>
        <w:t xml:space="preserve"> </w:t>
      </w:r>
      <w:r>
        <w:rPr>
          <w:b/>
          <w:bCs/>
        </w:rPr>
        <w:t xml:space="preserve">out-of-the-box integration features</w:t>
      </w:r>
      <w:r>
        <w:t xml:space="preserve"> </w:t>
      </w:r>
      <w:r>
        <w:t xml:space="preserve">they offer. For example, if the BioProfile FLEX2 has a mode to output results to a network folder or LIMS system, ensure we exploit that in our design (maybe the edge gateway can monitor a result file drop as an alternative data source). Use the</w:t>
      </w:r>
      <w:r>
        <w:t xml:space="preserve"> </w:t>
      </w:r>
      <w:r>
        <w:rPr>
          <w:b/>
          <w:bCs/>
        </w:rPr>
        <w:t xml:space="preserve">vendor’s OPC UA server</w:t>
      </w:r>
      <w:r>
        <w:t xml:space="preserve"> </w:t>
      </w:r>
      <w:r>
        <w:t xml:space="preserve">if provided, since that will have been tested by the vendor for correctness. If a custom driver is needed (for example, if using a serial port output), prefer proven libraries and perform thorough testing on parsing the data. Calibrate and validate the analyzer itself – ensure the data it provides is accurate and has electronic checksums or flags if something is wrong (the FLEX2 likely has self-diagnosis; integrate those signals too, so an event is raised if the instrument error occurs). Include the instrument’s</w:t>
      </w:r>
      <w:r>
        <w:t xml:space="preserve"> </w:t>
      </w:r>
      <w:r>
        <w:rPr>
          <w:b/>
          <w:bCs/>
        </w:rPr>
        <w:t xml:space="preserve">calibration/maintenance status</w:t>
      </w:r>
      <w:r>
        <w:t xml:space="preserve"> </w:t>
      </w:r>
      <w:r>
        <w:t xml:space="preserve">in the digital workflow: e.g., MES could track when the analyzer was last calibrated, and prevent use if out of calibration. While this strays into procedural controls, it's part of integration to ensure data validity.</w:t>
      </w:r>
    </w:p>
    <w:p>
      <w:pPr>
        <w:numPr>
          <w:ilvl w:val="0"/>
          <w:numId w:val="1006"/>
        </w:numPr>
      </w:pPr>
      <w:r>
        <w:rPr>
          <w:b/>
          <w:bCs/>
        </w:rPr>
        <w:t xml:space="preserve">Sample Contextualization for Insights:</w:t>
      </w:r>
      <w:r>
        <w:t xml:space="preserve"> </w:t>
      </w:r>
      <w:r>
        <w:t xml:space="preserve">Once the basic integration is working, leverage the contextual data for continuous process verification and improvement. For instance, use the combined data (process + lab results) to build control charts or feed into a PAT (Process Analytical Technology) initiative. The architecture enables more frequent sampling if needed in future (since it's automated); you could move toward real-time release or at-line testing where appropriate. Also consider integrating with electronic lab notebook or LIMS if those exist – the strategy could be extended so that the event bus also sends data to a LIMS or data warehouse for product lifecycle data aggregation. By treating contextualized data as a valuable asset, the company can unlock applications like multivariate analysis (to find factors affecting yield) or AI predictions for batch quality. The recommended architecture sets the stage for these Pharma 4.0 use cases by ensuring data is</w:t>
      </w:r>
      <w:r>
        <w:t xml:space="preserve"> </w:t>
      </w:r>
      <w:r>
        <w:rPr>
          <w:b/>
          <w:bCs/>
        </w:rPr>
        <w:t xml:space="preserve">immediately accessible, trustworthy, and rich in context</w:t>
      </w:r>
      <w:r>
        <w:t xml:space="preserve"> </w:t>
      </w:r>
      <w:r>
        <w:t xml:space="preserve">from the moment it's generated</w:t>
      </w:r>
      <w:hyperlink r:id="rId52">
        <w:r>
          <w:rPr>
            <w:rStyle w:val="Hyperlink"/>
          </w:rPr>
          <w:t xml:space="preserve">[28]</w:t>
        </w:r>
      </w:hyperlink>
      <w:hyperlink r:id="rId53">
        <w:r>
          <w:rPr>
            <w:rStyle w:val="Hyperlink"/>
          </w:rPr>
          <w:t xml:space="preserve">[29]</w:t>
        </w:r>
      </w:hyperlink>
      <w:r>
        <w:t xml:space="preserve">.</w:t>
      </w:r>
    </w:p>
    <w:p>
      <w:pPr>
        <w:pStyle w:val="FirstParagraph"/>
      </w:pPr>
      <w:r>
        <w:t xml:space="preserve">In summary, the strategy is to</w:t>
      </w:r>
      <w:r>
        <w:t xml:space="preserve"> </w:t>
      </w:r>
      <w:r>
        <w:rPr>
          <w:b/>
          <w:bCs/>
        </w:rPr>
        <w:t xml:space="preserve">bridge the gap between the shop-floor instrument and enterprise digital systems with an event-driven, GxP-compliant pipeline</w:t>
      </w:r>
      <w:r>
        <w:t xml:space="preserve">. By focusing on user-centric workflows (operator scans and goes, QA trusts the audit trails), employing robust technology options (MQTT/Kafka for agility, OPC/PI for established reliability), and by rigorously implementing data integrity practices (IDs, timestamps, audit logs, validation), we can seamlessly incorporate the Nova BioProfile FLEX2 analyzer into the digital fabric of biopharmaceutical manufacturing. This will enhance real-time decision making and regulatory compliance simultaneously – delivering both operational efficiency and peace of mind that all data is complete, correct, and readily available for review</w:t>
      </w:r>
      <w:hyperlink r:id="rId48">
        <w:r>
          <w:rPr>
            <w:rStyle w:val="Hyperlink"/>
          </w:rPr>
          <w:t xml:space="preserve">[25]</w:t>
        </w:r>
      </w:hyperlink>
      <w:hyperlink r:id="rId54">
        <w:r>
          <w:rPr>
            <w:rStyle w:val="Hyperlink"/>
          </w:rPr>
          <w:t xml:space="preserve">[30]</w:t>
        </w:r>
      </w:hyperlink>
      <w:r>
        <w:t xml:space="preserve">. The result is a manufacturing environment where manual lab data silos are eliminated, and every sample’s story – from collection to result to batch record – is captured and accessible as part of the wider manufacturing intelligence, in line with the vision of Pharma 4.0.</w:t>
      </w:r>
    </w:p>
    <w:bookmarkEnd w:id="55"/>
    <w:bookmarkEnd w:id="56"/>
    <w:bookmarkEnd w:id="5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43">
        <w:r>
          <w:rPr>
            <w:rStyle w:val="Hyperlink"/>
          </w:rPr>
          <w:t xml:space="preserve">[21]</w:t>
        </w:r>
      </w:hyperlink>
      <w:r>
        <w:t xml:space="preserve"> </w:t>
      </w:r>
      <w:hyperlink r:id="rId50">
        <w:r>
          <w:rPr>
            <w:rStyle w:val="Hyperlink"/>
          </w:rPr>
          <w:t xml:space="preserve">[26]</w:t>
        </w:r>
      </w:hyperlink>
      <w:r>
        <w:t xml:space="preserve"> </w:t>
      </w:r>
      <w:hyperlink r:id="rId52">
        <w:r>
          <w:rPr>
            <w:rStyle w:val="Hyperlink"/>
          </w:rPr>
          <w:t xml:space="preserve">[28]</w:t>
        </w:r>
      </w:hyperlink>
      <w:r>
        <w:t xml:space="preserve"> </w:t>
      </w:r>
      <w:r>
        <w:t xml:space="preserve">Context is Everything: Blending IT and OT Data for Smarter GxP Manufacturing</w:t>
      </w:r>
    </w:p>
    <w:p>
      <w:pPr>
        <w:pStyle w:val="BodyText"/>
      </w:pPr>
      <w:hyperlink r:id="rId58">
        <w:r>
          <w:rPr>
            <w:rStyle w:val="Hyperlink"/>
          </w:rPr>
          <w:t xml:space="preserve">https://www.aizon.ai/blog/context-is-everything-blending-it-and-ot-data-for-smarter-gxp-manufacturing</w:t>
        </w:r>
      </w:hyperlink>
    </w:p>
    <w:p>
      <w:pPr>
        <w:pStyle w:val="BodyText"/>
      </w:pPr>
      <w:hyperlink r:id="rId22">
        <w:r>
          <w:rPr>
            <w:rStyle w:val="Hyperlink"/>
          </w:rPr>
          <w:t xml:space="preserve">[2]</w:t>
        </w:r>
      </w:hyperlink>
      <w:r>
        <w:t xml:space="preserve"> </w:t>
      </w:r>
      <w:hyperlink r:id="rId48">
        <w:r>
          <w:rPr>
            <w:rStyle w:val="Hyperlink"/>
          </w:rPr>
          <w:t xml:space="preserve">[25]</w:t>
        </w:r>
      </w:hyperlink>
      <w:r>
        <w:t xml:space="preserve"> </w:t>
      </w:r>
      <w:r>
        <w:t xml:space="preserve">Building Contextualized Data for Better Insights in Bioprocessing - IDBS</w:t>
      </w:r>
    </w:p>
    <w:p>
      <w:pPr>
        <w:pStyle w:val="BodyText"/>
      </w:pPr>
      <w:hyperlink r:id="rId59">
        <w:r>
          <w:rPr>
            <w:rStyle w:val="Hyperlink"/>
          </w:rPr>
          <w:t xml:space="preserve">https://www.idbs.com/knowledge-base/building-contextualized-data-for-better-insights-in-bioprocessing/</w:t>
        </w:r>
      </w:hyperlink>
    </w:p>
    <w:p>
      <w:pPr>
        <w:pStyle w:val="BodyText"/>
      </w:pPr>
      <w:hyperlink r:id="rId24">
        <w:r>
          <w:rPr>
            <w:rStyle w:val="Hyperlink"/>
          </w:rPr>
          <w:t xml:space="preserve">[4]</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0">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24">
        <w:r>
          <w:rPr>
            <w:rStyle w:val="Hyperlink"/>
          </w:rPr>
          <w:t xml:space="preserve">[19]</w:t>
        </w:r>
      </w:hyperlink>
      <w:r>
        <w:t xml:space="preserve"> </w:t>
      </w:r>
      <w:hyperlink r:id="rId42">
        <w:r>
          <w:rPr>
            <w:rStyle w:val="Hyperlink"/>
          </w:rPr>
          <w:t xml:space="preserve">[20]</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r>
        <w:t xml:space="preserve">Building a Compliant Event-Driven Architecture in Pharma with MQTT and HiveMQ</w:t>
      </w:r>
    </w:p>
    <w:p>
      <w:pPr>
        <w:pStyle w:val="BodyText"/>
      </w:pPr>
      <w:hyperlink r:id="rId60">
        <w:r>
          <w:rPr>
            <w:rStyle w:val="Hyperlink"/>
          </w:rPr>
          <w:t xml:space="preserve">https://www.hivemq.com/blog/building-compliant-event-driven-architecture-pharma-mqtt-hivemq/</w:t>
        </w:r>
      </w:hyperlink>
    </w:p>
    <w:p>
      <w:pPr>
        <w:pStyle w:val="BodyText"/>
      </w:pPr>
      <w:hyperlink r:id="rId26">
        <w:r>
          <w:rPr>
            <w:rStyle w:val="Hyperlink"/>
          </w:rPr>
          <w:t xml:space="preserve">[5]</w:t>
        </w:r>
      </w:hyperlink>
      <w:r>
        <w:t xml:space="preserve"> </w:t>
      </w:r>
      <w:r>
        <w:t xml:space="preserve">Nova Biomedical BioProfile FLEX2 Integration - Flownamics</w:t>
      </w:r>
    </w:p>
    <w:p>
      <w:pPr>
        <w:pStyle w:val="BodyText"/>
      </w:pPr>
      <w:hyperlink r:id="rId61">
        <w:r>
          <w:rPr>
            <w:rStyle w:val="Hyperlink"/>
          </w:rPr>
          <w:t xml:space="preserve">https://flownamics.com/product/nova-bioprofile-flex2-integration/</w:t>
        </w:r>
      </w:hyperlink>
    </w:p>
    <w:p>
      <w:pPr>
        <w:pStyle w:val="BodyText"/>
      </w:pPr>
      <w:hyperlink r:id="rId29">
        <w:r>
          <w:rPr>
            <w:rStyle w:val="Hyperlink"/>
          </w:rPr>
          <w:t xml:space="preserve">[8]</w:t>
        </w:r>
      </w:hyperlink>
      <w:r>
        <w:t xml:space="preserve"> </w:t>
      </w:r>
      <w:hyperlink r:id="rId36">
        <w:r>
          <w:rPr>
            <w:rStyle w:val="Hyperlink"/>
          </w:rPr>
          <w:t xml:space="preserve">[15]</w:t>
        </w:r>
      </w:hyperlink>
      <w:r>
        <w:t xml:space="preserve"> </w:t>
      </w:r>
      <w:r>
        <w:t xml:space="preserve">cdn.osisoft.com</w:t>
      </w:r>
    </w:p>
    <w:p>
      <w:pPr>
        <w:pStyle w:val="BodyText"/>
      </w:pPr>
      <w:hyperlink r:id="rId62">
        <w:r>
          <w:rPr>
            <w:rStyle w:val="Hyperlink"/>
          </w:rPr>
          <w:t xml:space="preserve">https://cdn.osisoft.com/corp/en/media/presentations/2012/UsersConference2012/PDF/UC2012_Janssen_Higgins_MESIntegrationPISystem.pdf</w:t>
        </w:r>
      </w:hyperlink>
    </w:p>
    <w:p>
      <w:pPr>
        <w:pStyle w:val="BodyText"/>
      </w:pPr>
      <w:hyperlink r:id="rId37">
        <w:r>
          <w:rPr>
            <w:rStyle w:val="Hyperlink"/>
          </w:rPr>
          <w:t xml:space="preserve">[16]</w:t>
        </w:r>
      </w:hyperlink>
      <w:r>
        <w:t xml:space="preserve"> </w:t>
      </w:r>
      <w:r>
        <w:t xml:space="preserve">Using Streaming Views for Real Time Analytics - AVEVA PI System</w:t>
      </w:r>
    </w:p>
    <w:p>
      <w:pPr>
        <w:pStyle w:val="BodyText"/>
      </w:pPr>
      <w:hyperlink r:id="rId63">
        <w:r>
          <w:rPr>
            <w:rStyle w:val="Hyperlink"/>
          </w:rPr>
          <w:t xml:space="preserve">https://resources.osisoft.com/presentations/using-streaming-views-for-real-time-analytics/</w:t>
        </w:r>
      </w:hyperlink>
    </w:p>
    <w:p>
      <w:pPr>
        <w:pStyle w:val="BodyText"/>
      </w:pPr>
      <w:hyperlink r:id="rId38">
        <w:r>
          <w:rPr>
            <w:rStyle w:val="Hyperlink"/>
          </w:rPr>
          <w:t xml:space="preserve">[17]</w:t>
        </w:r>
      </w:hyperlink>
      <w:r>
        <w:t xml:space="preserve"> </w:t>
      </w:r>
      <w:r>
        <w:t xml:space="preserve">PI Integrator for Business Analytics 2020 R2 SP2 Patch 1</w:t>
      </w:r>
    </w:p>
    <w:p>
      <w:pPr>
        <w:pStyle w:val="BodyText"/>
      </w:pPr>
      <w:hyperlink r:id="rId64">
        <w:r>
          <w:rPr>
            <w:rStyle w:val="Hyperlink"/>
          </w:rPr>
          <w:t xml:space="preserve">https://docs.aveva.com/bundle/pi-integrator-for-business-analytics/page/1023068.html</w:t>
        </w:r>
      </w:hyperlink>
    </w:p>
    <w:p>
      <w:pPr>
        <w:pStyle w:val="BodyText"/>
      </w:pPr>
      <w:hyperlink r:id="rId39">
        <w:r>
          <w:rPr>
            <w:rStyle w:val="Hyperlink"/>
          </w:rPr>
          <w:t xml:space="preserve">[18]</w:t>
        </w:r>
      </w:hyperlink>
      <w:r>
        <w:t xml:space="preserve"> </w:t>
      </w:r>
      <w:r>
        <w:t xml:space="preserve">Apache Kafka and MQTT (Part 3 of 5) – Manufacturing 4.0 and Industrial IoT - Kai Waehner</w:t>
      </w:r>
    </w:p>
    <w:p>
      <w:pPr>
        <w:pStyle w:val="BodyText"/>
      </w:pPr>
      <w:hyperlink r:id="rId65">
        <w:r>
          <w:rPr>
            <w:rStyle w:val="Hyperlink"/>
          </w:rPr>
          <w:t xml:space="preserve">https://www.kai-waehner.de/blog/2021/03/22/apache-kafka-mqtt-part-3-of-5-manufacturing-industrial-iot-industry-4-0/</w:t>
        </w:r>
      </w:hyperlink>
    </w:p>
    <w:p>
      <w:pPr>
        <w:pStyle w:val="BodyText"/>
      </w:pPr>
      <w:hyperlink r:id="rId44">
        <w:r>
          <w:rPr>
            <w:rStyle w:val="Hyperlink"/>
          </w:rPr>
          <w:t xml:space="preserve">[22]</w:t>
        </w:r>
      </w:hyperlink>
      <w:r>
        <w:t xml:space="preserve"> </w:t>
      </w:r>
      <w:hyperlink r:id="rId45">
        <w:r>
          <w:rPr>
            <w:rStyle w:val="Hyperlink"/>
          </w:rPr>
          <w:t xml:space="preserve">[23]</w:t>
        </w:r>
      </w:hyperlink>
      <w:r>
        <w:t xml:space="preserve"> </w:t>
      </w:r>
      <w:hyperlink r:id="rId51">
        <w:r>
          <w:rPr>
            <w:rStyle w:val="Hyperlink"/>
          </w:rPr>
          <w:t xml:space="preserve">[27]</w:t>
        </w:r>
      </w:hyperlink>
      <w:r>
        <w:t xml:space="preserve"> </w:t>
      </w:r>
      <w:r>
        <w:t xml:space="preserve">CPwE-5-IFS-DIG.book</w:t>
      </w:r>
    </w:p>
    <w:p>
      <w:pPr>
        <w:pStyle w:val="BodyText"/>
      </w:pPr>
      <w:hyperlink r:id="rId66">
        <w:r>
          <w:rPr>
            <w:rStyle w:val="Hyperlink"/>
          </w:rPr>
          <w:t xml:space="preserve">https://literature.rockwellautomation.com/idc/groups/literature/documents/td/enet-td002_-en-p.pdf</w:t>
        </w:r>
      </w:hyperlink>
    </w:p>
    <w:p>
      <w:pPr>
        <w:pStyle w:val="BodyText"/>
      </w:pPr>
      <w:hyperlink r:id="rId47">
        <w:r>
          <w:rPr>
            <w:rStyle w:val="Hyperlink"/>
          </w:rPr>
          <w:t xml:space="preserve">[24]</w:t>
        </w:r>
      </w:hyperlink>
      <w:r>
        <w:t xml:space="preserve"> </w:t>
      </w:r>
      <w:r>
        <w:t xml:space="preserve">PAS-X inmation MSI Integration</w:t>
      </w:r>
    </w:p>
    <w:p>
      <w:pPr>
        <w:pStyle w:val="BodyText"/>
      </w:pPr>
      <w:hyperlink r:id="rId67">
        <w:r>
          <w:rPr>
            <w:rStyle w:val="Hyperlink"/>
          </w:rPr>
          <w:t xml:space="preserve">https://docs.inmation.com/jumpstarts/1.108/msi-integration/index.html</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cdn.osisoft.com/corp/en/media/presentations/2012/UsersConference2012/PDF/UC2012_Janssen_Higgins_MESIntegrationPISystem.pdf" TargetMode="External" /><Relationship Type="http://schemas.openxmlformats.org/officeDocument/2006/relationships/hyperlink" Id="rId29" Target="https://cdn.osisoft.com/corp/en/media/presentations/2012/UsersConference2012/PDF/UC2012_Janssen_Higgins_MESIntegrationPISystem.pdf#:~:text=%C2%A9%20Copyright%202012%20OSIsoft%2C%20LLC,s%29%20PI%20System" TargetMode="External" /><Relationship Type="http://schemas.openxmlformats.org/officeDocument/2006/relationships/hyperlink" Id="rId36" Target="https://cdn.osisoft.com/corp/en/media/presentations/2012/UsersConference2012/PDF/UC2012_Janssen_Higgins_MESIntegrationPISystem.pdf#:~:text=%E2%80%A2%20PAS,referenced%20in%20the%20PI%20System" TargetMode="External" /><Relationship Type="http://schemas.openxmlformats.org/officeDocument/2006/relationships/hyperlink" Id="rId64" Target="https://docs.aveva.com/bundle/pi-integrator-for-business-analytics/page/1023068.html" TargetMode="External" /><Relationship Type="http://schemas.openxmlformats.org/officeDocument/2006/relationships/hyperlink" Id="rId38" Target="https://docs.aveva.com/bundle/pi-integrator-for-business-analytics/page/1023068.html#:~:text=PI%20Integrator%20for%20Business%20Analytics,platforms%20such%20as%20Apache%20Kafka" TargetMode="External" /><Relationship Type="http://schemas.openxmlformats.org/officeDocument/2006/relationships/hyperlink" Id="rId67" Target="https://docs.inmation.com/jumpstarts/1.108/msi-integration/index.html" TargetMode="External" /><Relationship Type="http://schemas.openxmlformats.org/officeDocument/2006/relationships/hyperlink" Id="rId47" Target="https://docs.inmation.com/jumpstarts/1.108/msi-integration/index.html#:~:text=This%20is%20especially%20useful%20for,send%20exceptions%20from%20the" TargetMode="External" /><Relationship Type="http://schemas.openxmlformats.org/officeDocument/2006/relationships/hyperlink" Id="rId61" Target="https://flownamics.com/product/nova-bioprofile-flex2-integration/" TargetMode="External" /><Relationship Type="http://schemas.openxmlformats.org/officeDocument/2006/relationships/hyperlink" Id="rId26" Target="https://flownamics.com/product/nova-bioprofile-flex2-integration/#:~:text=The%20Seg,enhanced%20bioprocess%20monitoring%20and%20control" TargetMode="External" /><Relationship Type="http://schemas.openxmlformats.org/officeDocument/2006/relationships/hyperlink" Id="rId66" Target="https://literature.rockwellautomation.com/idc/groups/literature/documents/td/enet-td002_-en-p.pdf" TargetMode="External" /><Relationship Type="http://schemas.openxmlformats.org/officeDocument/2006/relationships/hyperlink" Id="rId44" Target="https://literature.rockwellautomation.com/idc/groups/literature/documents/td/enet-td002_-en-p.pdf#:~:text=Converged%20Plantwide%20Ethernet%20,design%20and%20deployment%20of%20a" TargetMode="External" /><Relationship Type="http://schemas.openxmlformats.org/officeDocument/2006/relationships/hyperlink" Id="rId45" Target="https://literature.rockwellautomation.com/idc/groups/literature/documents/td/enet-td002_-en-p.pdf#:~:text=Plant,Industrial" TargetMode="External" /><Relationship Type="http://schemas.openxmlformats.org/officeDocument/2006/relationships/hyperlink" Id="rId51" Target="https://literature.rockwellautomation.com/idc/groups/literature/documents/td/enet-td002_-en-p.pdf#:~:text=zoning%29%2C%20industrial%20firewalls%20,AAA" TargetMode="External" /><Relationship Type="http://schemas.openxmlformats.org/officeDocument/2006/relationships/hyperlink" Id="rId63" Target="https://resources.osisoft.com/presentations/using-streaming-views-for-real-time-analytics/" TargetMode="External" /><Relationship Type="http://schemas.openxmlformats.org/officeDocument/2006/relationships/hyperlink" Id="rId37" Target="https://resources.osisoft.com/presentations/using-streaming-views-for-real-time-analytics/#:~:text=System%20resources.osisoft.com%20%20This%20How,System%2C%20through%20a%20Kafka%20server" TargetMode="External" /><Relationship Type="http://schemas.openxmlformats.org/officeDocument/2006/relationships/hyperlink" Id="rId58" Target="https://www.aizon.ai/blog/context-is-everything-blending-it-and-ot-data-for-smarter-gxp-manufacturing" TargetMode="External" /><Relationship Type="http://schemas.openxmlformats.org/officeDocument/2006/relationships/hyperlink" Id="rId43" Target="https://www.aizon.ai/blog/context-is-everything-blending-it-and-ot-data-for-smarter-gxp-manufacturing#:~:text=%2A%20Batch,a%20critical%20phase%20of%20manufacturing" TargetMode="External" /><Relationship Type="http://schemas.openxmlformats.org/officeDocument/2006/relationships/hyperlink" Id="rId21" Target="https://www.aizon.ai/blog/context-is-everything-blending-it-and-ot-data-for-smarter-gxp-manufacturing#:~:text=,Legible%2C%20Contemporaneous%2C%20Original%2C%20and%20Accurate" TargetMode="External" /><Relationship Type="http://schemas.openxmlformats.org/officeDocument/2006/relationships/hyperlink" Id="rId23" Target="https://www.aizon.ai/blog/context-is-everything-blending-it-and-ot-data-for-smarter-gxp-manufacturing#:~:text=In%20pharmaceutical%20manufacturing%2C%20data%20is,compliance%2C%20and%20enabling%20predictive%20analytics" TargetMode="External" /><Relationship Type="http://schemas.openxmlformats.org/officeDocument/2006/relationships/hyperlink" Id="rId52" Target="https://www.aizon.ai/blog/context-is-everything-blending-it-and-ot-data-for-smarter-gxp-manufacturing#:~:text=The%20Data,Manufacturing" TargetMode="External" /><Relationship Type="http://schemas.openxmlformats.org/officeDocument/2006/relationships/hyperlink" Id="rId50" Target="https://www.aizon.ai/blog/context-is-everything-blending-it-and-ot-data-for-smarter-gxp-manufacturing#:~:text=production%20timestamps%E2%80%94these%20data%20points%20mean,improving%20efficiency%2C%20ensuring%20compliance%2C%20and" TargetMode="External" /><Relationship Type="http://schemas.openxmlformats.org/officeDocument/2006/relationships/hyperlink" Id="rId60" Target="https://www.hivemq.com/blog/building-compliant-event-driven-architecture-pharma-mqtt-hivemq/" TargetMode="External" /><Relationship Type="http://schemas.openxmlformats.org/officeDocument/2006/relationships/hyperlink" Id="rId28" Target="https://www.hivemq.com/blog/building-compliant-event-driven-architecture-pharma-mqtt-hivemq/#:~:text=,source%20distributed%20event%20streaming%20platform" TargetMode="External" /><Relationship Type="http://schemas.openxmlformats.org/officeDocument/2006/relationships/hyperlink" Id="rId30" Target="https://www.hivemq.com/blog/building-compliant-event-driven-architecture-pharma-mqtt-hivemq/#:~:text=A%20Unified%20Namespace%20is%20the,to%20build%20an%20effective%20UNS" TargetMode="External" /><Relationship Type="http://schemas.openxmlformats.org/officeDocument/2006/relationships/hyperlink" Id="rId53" Target="https://www.hivemq.com/blog/building-compliant-event-driven-architecture-pharma-mqtt-hivemq/#:~:text=Conclusion" TargetMode="External" /><Relationship Type="http://schemas.openxmlformats.org/officeDocument/2006/relationships/hyperlink" Id="rId33" Target="https://www.hivemq.com/blog/building-compliant-event-driven-architecture-pharma-mqtt-hivemq/#:~:text=MQTT%20provides%20the%20deterministic%2C%20lightweight%2C,is%20connected%20end%20to%20end" TargetMode="External" /><Relationship Type="http://schemas.openxmlformats.org/officeDocument/2006/relationships/hyperlink" Id="rId34" Target="https://www.hivemq.com/blog/building-compliant-event-driven-architecture-pharma-mqtt-hivemq/#:~:text=MQTT%2C%20implemented%20through%20HiveMQ%2C%20is,regulatory%20compliance%20and%20digital%20agility" TargetMode="External" /><Relationship Type="http://schemas.openxmlformats.org/officeDocument/2006/relationships/hyperlink" Id="rId27" Target="https://www.hivemq.com/blog/building-compliant-event-driven-architecture-pharma-mqtt-hivemq/#:~:text=Open%20Integration%20with%20Enterprise%20%26,Industrial%20Systems" TargetMode="External" /><Relationship Type="http://schemas.openxmlformats.org/officeDocument/2006/relationships/hyperlink" Id="rId42" Target="https://www.hivemq.com/blog/building-compliant-event-driven-architecture-pharma-mqtt-hivemq/#:~:text=enable%20secure%2C%20deterministic%20data%20exchange,ready" TargetMode="External" /><Relationship Type="http://schemas.openxmlformats.org/officeDocument/2006/relationships/hyperlink" Id="rId54" Target="https://www.hivemq.com/blog/building-compliant-event-driven-architecture-pharma-mqtt-hivemq/#:~:text=enable%20secure%2C%20deterministic%20data%20exchange,ready%20reliability" TargetMode="External" /><Relationship Type="http://schemas.openxmlformats.org/officeDocument/2006/relationships/hyperlink" Id="rId32" Target="https://www.hivemq.com/blog/building-compliant-event-driven-architecture-pharma-mqtt-hivemq/#:~:text=immediately%20accessible%20to%20any%20authorized,rather%20than%20siloed%20data%20copies" TargetMode="External" /><Relationship Type="http://schemas.openxmlformats.org/officeDocument/2006/relationships/hyperlink" Id="rId24" Target="https://www.hivemq.com/blog/building-compliant-event-driven-architecture-pharma-mqtt-hivemq/#:~:text=product%20quality%20and%20audit%20readiness,ready%20reliability" TargetMode="External" /><Relationship Type="http://schemas.openxmlformats.org/officeDocument/2006/relationships/hyperlink" Id="rId31" Target="https://www.hivemq.com/blog/building-compliant-event-driven-architecture-pharma-mqtt-hivemq/#:~:text=same%20real,than%20siloed%20data%20copies" TargetMode="External" /><Relationship Type="http://schemas.openxmlformats.org/officeDocument/2006/relationships/hyperlink" Id="rId59" Target="https://www.idbs.com/knowledge-base/building-contextualized-data-for-better-insights-in-bioprocessing/" TargetMode="External" /><Relationship Type="http://schemas.openxmlformats.org/officeDocument/2006/relationships/hyperlink" Id="rId22" Target="https://www.idbs.com/knowledge-base/building-contextualized-data-for-better-insights-in-bioprocessing/#:~:text=The%20benefits%20of%20contextualized%20data,new%20bioprocessing%20techniques%20and%20products" TargetMode="External" /><Relationship Type="http://schemas.openxmlformats.org/officeDocument/2006/relationships/hyperlink" Id="rId48" Target="https://www.idbs.com/knowledge-base/building-contextualized-data-for-better-insights-in-bioprocessing/#:~:text=relationships%20between%20different%20variables%2C%20operators,new%20bioprocessing%20techniques%20and%20products" TargetMode="External" /><Relationship Type="http://schemas.openxmlformats.org/officeDocument/2006/relationships/hyperlink" Id="rId65" Target="https://www.kai-waehner.de/blog/2021/03/22/apache-kafka-mqtt-part-3-of-5-manufacturing-industrial-iot-industry-4-0/" TargetMode="External" /><Relationship Type="http://schemas.openxmlformats.org/officeDocument/2006/relationships/hyperlink" Id="rId39" Target="https://www.kai-waehner.de/blog/2021/03/22/apache-kafka-mqtt-part-3-of-5-manufacturing-industrial-iot-industry-4-0/#:~:text=An%20OT%20middleware%20such%20as,%E2%80%9CApache" TargetMode="External" /></Relationships>
</file>

<file path=word/_rels/footnotes.xml.rels><?xml version="1.0" encoding="UTF-8"?><Relationships xmlns="http://schemas.openxmlformats.org/package/2006/relationships"><Relationship Type="http://schemas.openxmlformats.org/officeDocument/2006/relationships/hyperlink" Id="rId62" Target="https://cdn.osisoft.com/corp/en/media/presentations/2012/UsersConference2012/PDF/UC2012_Janssen_Higgins_MESIntegrationPISystem.pdf" TargetMode="External" /><Relationship Type="http://schemas.openxmlformats.org/officeDocument/2006/relationships/hyperlink" Id="rId29" Target="https://cdn.osisoft.com/corp/en/media/presentations/2012/UsersConference2012/PDF/UC2012_Janssen_Higgins_MESIntegrationPISystem.pdf#:~:text=%C2%A9%20Copyright%202012%20OSIsoft%2C%20LLC,s%29%20PI%20System" TargetMode="External" /><Relationship Type="http://schemas.openxmlformats.org/officeDocument/2006/relationships/hyperlink" Id="rId36" Target="https://cdn.osisoft.com/corp/en/media/presentations/2012/UsersConference2012/PDF/UC2012_Janssen_Higgins_MESIntegrationPISystem.pdf#:~:text=%E2%80%A2%20PAS,referenced%20in%20the%20PI%20System" TargetMode="External" /><Relationship Type="http://schemas.openxmlformats.org/officeDocument/2006/relationships/hyperlink" Id="rId64" Target="https://docs.aveva.com/bundle/pi-integrator-for-business-analytics/page/1023068.html" TargetMode="External" /><Relationship Type="http://schemas.openxmlformats.org/officeDocument/2006/relationships/hyperlink" Id="rId38" Target="https://docs.aveva.com/bundle/pi-integrator-for-business-analytics/page/1023068.html#:~:text=PI%20Integrator%20for%20Business%20Analytics,platforms%20such%20as%20Apache%20Kafka" TargetMode="External" /><Relationship Type="http://schemas.openxmlformats.org/officeDocument/2006/relationships/hyperlink" Id="rId67" Target="https://docs.inmation.com/jumpstarts/1.108/msi-integration/index.html" TargetMode="External" /><Relationship Type="http://schemas.openxmlformats.org/officeDocument/2006/relationships/hyperlink" Id="rId47" Target="https://docs.inmation.com/jumpstarts/1.108/msi-integration/index.html#:~:text=This%20is%20especially%20useful%20for,send%20exceptions%20from%20the" TargetMode="External" /><Relationship Type="http://schemas.openxmlformats.org/officeDocument/2006/relationships/hyperlink" Id="rId61" Target="https://flownamics.com/product/nova-bioprofile-flex2-integration/" TargetMode="External" /><Relationship Type="http://schemas.openxmlformats.org/officeDocument/2006/relationships/hyperlink" Id="rId26" Target="https://flownamics.com/product/nova-bioprofile-flex2-integration/#:~:text=The%20Seg,enhanced%20bioprocess%20monitoring%20and%20control" TargetMode="External" /><Relationship Type="http://schemas.openxmlformats.org/officeDocument/2006/relationships/hyperlink" Id="rId66" Target="https://literature.rockwellautomation.com/idc/groups/literature/documents/td/enet-td002_-en-p.pdf" TargetMode="External" /><Relationship Type="http://schemas.openxmlformats.org/officeDocument/2006/relationships/hyperlink" Id="rId44" Target="https://literature.rockwellautomation.com/idc/groups/literature/documents/td/enet-td002_-en-p.pdf#:~:text=Converged%20Plantwide%20Ethernet%20,design%20and%20deployment%20of%20a" TargetMode="External" /><Relationship Type="http://schemas.openxmlformats.org/officeDocument/2006/relationships/hyperlink" Id="rId45" Target="https://literature.rockwellautomation.com/idc/groups/literature/documents/td/enet-td002_-en-p.pdf#:~:text=Plant,Industrial" TargetMode="External" /><Relationship Type="http://schemas.openxmlformats.org/officeDocument/2006/relationships/hyperlink" Id="rId51" Target="https://literature.rockwellautomation.com/idc/groups/literature/documents/td/enet-td002_-en-p.pdf#:~:text=zoning%29%2C%20industrial%20firewalls%20,AAA" TargetMode="External" /><Relationship Type="http://schemas.openxmlformats.org/officeDocument/2006/relationships/hyperlink" Id="rId63" Target="https://resources.osisoft.com/presentations/using-streaming-views-for-real-time-analytics/" TargetMode="External" /><Relationship Type="http://schemas.openxmlformats.org/officeDocument/2006/relationships/hyperlink" Id="rId37" Target="https://resources.osisoft.com/presentations/using-streaming-views-for-real-time-analytics/#:~:text=System%20resources.osisoft.com%20%20This%20How,System%2C%20through%20a%20Kafka%20server" TargetMode="External" /><Relationship Type="http://schemas.openxmlformats.org/officeDocument/2006/relationships/hyperlink" Id="rId58" Target="https://www.aizon.ai/blog/context-is-everything-blending-it-and-ot-data-for-smarter-gxp-manufacturing" TargetMode="External" /><Relationship Type="http://schemas.openxmlformats.org/officeDocument/2006/relationships/hyperlink" Id="rId43" Target="https://www.aizon.ai/blog/context-is-everything-blending-it-and-ot-data-for-smarter-gxp-manufacturing#:~:text=%2A%20Batch,a%20critical%20phase%20of%20manufacturing" TargetMode="External" /><Relationship Type="http://schemas.openxmlformats.org/officeDocument/2006/relationships/hyperlink" Id="rId21" Target="https://www.aizon.ai/blog/context-is-everything-blending-it-and-ot-data-for-smarter-gxp-manufacturing#:~:text=,Legible%2C%20Contemporaneous%2C%20Original%2C%20and%20Accurate" TargetMode="External" /><Relationship Type="http://schemas.openxmlformats.org/officeDocument/2006/relationships/hyperlink" Id="rId23" Target="https://www.aizon.ai/blog/context-is-everything-blending-it-and-ot-data-for-smarter-gxp-manufacturing#:~:text=In%20pharmaceutical%20manufacturing%2C%20data%20is,compliance%2C%20and%20enabling%20predictive%20analytics" TargetMode="External" /><Relationship Type="http://schemas.openxmlformats.org/officeDocument/2006/relationships/hyperlink" Id="rId52" Target="https://www.aizon.ai/blog/context-is-everything-blending-it-and-ot-data-for-smarter-gxp-manufacturing#:~:text=The%20Data,Manufacturing" TargetMode="External" /><Relationship Type="http://schemas.openxmlformats.org/officeDocument/2006/relationships/hyperlink" Id="rId50" Target="https://www.aizon.ai/blog/context-is-everything-blending-it-and-ot-data-for-smarter-gxp-manufacturing#:~:text=production%20timestamps%E2%80%94these%20data%20points%20mean,improving%20efficiency%2C%20ensuring%20compliance%2C%20and" TargetMode="External" /><Relationship Type="http://schemas.openxmlformats.org/officeDocument/2006/relationships/hyperlink" Id="rId60" Target="https://www.hivemq.com/blog/building-compliant-event-driven-architecture-pharma-mqtt-hivemq/" TargetMode="External" /><Relationship Type="http://schemas.openxmlformats.org/officeDocument/2006/relationships/hyperlink" Id="rId28" Target="https://www.hivemq.com/blog/building-compliant-event-driven-architecture-pharma-mqtt-hivemq/#:~:text=,source%20distributed%20event%20streaming%20platform" TargetMode="External" /><Relationship Type="http://schemas.openxmlformats.org/officeDocument/2006/relationships/hyperlink" Id="rId30" Target="https://www.hivemq.com/blog/building-compliant-event-driven-architecture-pharma-mqtt-hivemq/#:~:text=A%20Unified%20Namespace%20is%20the,to%20build%20an%20effective%20UNS" TargetMode="External" /><Relationship Type="http://schemas.openxmlformats.org/officeDocument/2006/relationships/hyperlink" Id="rId53" Target="https://www.hivemq.com/blog/building-compliant-event-driven-architecture-pharma-mqtt-hivemq/#:~:text=Conclusion" TargetMode="External" /><Relationship Type="http://schemas.openxmlformats.org/officeDocument/2006/relationships/hyperlink" Id="rId33" Target="https://www.hivemq.com/blog/building-compliant-event-driven-architecture-pharma-mqtt-hivemq/#:~:text=MQTT%20provides%20the%20deterministic%2C%20lightweight%2C,is%20connected%20end%20to%20end" TargetMode="External" /><Relationship Type="http://schemas.openxmlformats.org/officeDocument/2006/relationships/hyperlink" Id="rId34" Target="https://www.hivemq.com/blog/building-compliant-event-driven-architecture-pharma-mqtt-hivemq/#:~:text=MQTT%2C%20implemented%20through%20HiveMQ%2C%20is,regulatory%20compliance%20and%20digital%20agility" TargetMode="External" /><Relationship Type="http://schemas.openxmlformats.org/officeDocument/2006/relationships/hyperlink" Id="rId27" Target="https://www.hivemq.com/blog/building-compliant-event-driven-architecture-pharma-mqtt-hivemq/#:~:text=Open%20Integration%20with%20Enterprise%20%26,Industrial%20Systems" TargetMode="External" /><Relationship Type="http://schemas.openxmlformats.org/officeDocument/2006/relationships/hyperlink" Id="rId42" Target="https://www.hivemq.com/blog/building-compliant-event-driven-architecture-pharma-mqtt-hivemq/#:~:text=enable%20secure%2C%20deterministic%20data%20exchange,ready" TargetMode="External" /><Relationship Type="http://schemas.openxmlformats.org/officeDocument/2006/relationships/hyperlink" Id="rId54" Target="https://www.hivemq.com/blog/building-compliant-event-driven-architecture-pharma-mqtt-hivemq/#:~:text=enable%20secure%2C%20deterministic%20data%20exchange,ready%20reliability" TargetMode="External" /><Relationship Type="http://schemas.openxmlformats.org/officeDocument/2006/relationships/hyperlink" Id="rId32" Target="https://www.hivemq.com/blog/building-compliant-event-driven-architecture-pharma-mqtt-hivemq/#:~:text=immediately%20accessible%20to%20any%20authorized,rather%20than%20siloed%20data%20copies" TargetMode="External" /><Relationship Type="http://schemas.openxmlformats.org/officeDocument/2006/relationships/hyperlink" Id="rId24" Target="https://www.hivemq.com/blog/building-compliant-event-driven-architecture-pharma-mqtt-hivemq/#:~:text=product%20quality%20and%20audit%20readiness,ready%20reliability" TargetMode="External" /><Relationship Type="http://schemas.openxmlformats.org/officeDocument/2006/relationships/hyperlink" Id="rId31" Target="https://www.hivemq.com/blog/building-compliant-event-driven-architecture-pharma-mqtt-hivemq/#:~:text=same%20real,than%20siloed%20data%20copies" TargetMode="External" /><Relationship Type="http://schemas.openxmlformats.org/officeDocument/2006/relationships/hyperlink" Id="rId59" Target="https://www.idbs.com/knowledge-base/building-contextualized-data-for-better-insights-in-bioprocessing/" TargetMode="External" /><Relationship Type="http://schemas.openxmlformats.org/officeDocument/2006/relationships/hyperlink" Id="rId22" Target="https://www.idbs.com/knowledge-base/building-contextualized-data-for-better-insights-in-bioprocessing/#:~:text=The%20benefits%20of%20contextualized%20data,new%20bioprocessing%20techniques%20and%20products" TargetMode="External" /><Relationship Type="http://schemas.openxmlformats.org/officeDocument/2006/relationships/hyperlink" Id="rId48" Target="https://www.idbs.com/knowledge-base/building-contextualized-data-for-better-insights-in-bioprocessing/#:~:text=relationships%20between%20different%20variables%2C%20operators,new%20bioprocessing%20techniques%20and%20products" TargetMode="External" /><Relationship Type="http://schemas.openxmlformats.org/officeDocument/2006/relationships/hyperlink" Id="rId65" Target="https://www.kai-waehner.de/blog/2021/03/22/apache-kafka-mqtt-part-3-of-5-manufacturing-industrial-iot-industry-4-0/" TargetMode="External" /><Relationship Type="http://schemas.openxmlformats.org/officeDocument/2006/relationships/hyperlink" Id="rId39" Target="https://www.kai-waehner.de/blog/2021/03/22/apache-kafka-mqtt-part-3-of-5-manufacturing-industrial-iot-industry-4-0/#:~:text=An%20OT%20middleware%20such%20as,%E2%80%9CApac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2025-12-16T14:33:45Z</dcterms:created>
  <dcterms:modified xsi:type="dcterms:W3CDTF">2025-12-16T14:33:45Z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