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left"/>
        <w:rPr>
          <w:rFonts w:ascii="Times Roman" w:cs="Times Roman" w:hAnsi="Times Roman" w:eastAsia="Times Roman"/>
          <w:rtl w:val="0"/>
        </w:rPr>
      </w:pPr>
      <w:bookmarkStart w:name="header" w:id="0"/>
      <w:r>
        <w:rPr>
          <w:rFonts w:ascii="Times Roman" w:hAnsi="Times Roman"/>
          <w:rtl w:val="0"/>
          <w:lang w:val="en-US"/>
        </w:rPr>
        <w:t>Plant Bus Risk Mitigation Research for Biopharma OT</w:t>
      </w:r>
      <w:r>
        <w:rPr>
          <w:rFonts w:ascii="Times Roman" w:hAnsi="Times Roman" w:hint="default"/>
          <w:rtl w:val="0"/>
        </w:rPr>
        <w:t>–</w:t>
      </w:r>
      <w:r>
        <w:rPr>
          <w:rFonts w:ascii="Times Roman" w:hAnsi="Times Roman"/>
          <w:rtl w:val="0"/>
          <w:lang w:val="en-US"/>
        </w:rPr>
        <w:t>Enterprise Integration</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Executive summary</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pt-PT"/>
        </w:rPr>
        <w:t xml:space="preserve">A </w:t>
      </w:r>
      <w:r>
        <w:rPr>
          <w:rFonts w:ascii="Times Roman" w:hAnsi="Times Roman" w:hint="default"/>
          <w:rtl w:val="1"/>
          <w:lang w:val="ar-SA" w:bidi="ar-SA"/>
        </w:rPr>
        <w:t>“</w:t>
      </w:r>
      <w:r>
        <w:rPr>
          <w:rFonts w:ascii="Times Roman" w:hAnsi="Times Roman"/>
          <w:rtl w:val="0"/>
        </w:rPr>
        <w:t>plant bus</w:t>
      </w:r>
      <w:r>
        <w:rPr>
          <w:rFonts w:ascii="Times Roman" w:hAnsi="Times Roman" w:hint="default"/>
          <w:rtl w:val="0"/>
        </w:rPr>
        <w:t xml:space="preserve">” </w:t>
      </w:r>
      <w:r>
        <w:rPr>
          <w:rFonts w:ascii="Times Roman" w:hAnsi="Times Roman"/>
          <w:rtl w:val="0"/>
          <w:lang w:val="en-US"/>
        </w:rPr>
        <w:t>that connects OT data producers (DCS, PLC, SCADA) to enterprise consumers (EBR, MES, analytics, QMS, ERP) delivers clear value: faster data access, standardized semantics, and fewer complex integrations. However, it introduces a</w:t>
      </w:r>
      <w:r>
        <w:rPr>
          <w:rFonts w:ascii="Times Roman" w:hAnsi="Times Roman"/>
          <w:b w:val="1"/>
          <w:bCs w:val="1"/>
          <w:rtl w:val="0"/>
          <w:lang w:val="en-US"/>
        </w:rPr>
        <w:t xml:space="preserve"> shared dependency layer</w:t>
      </w:r>
      <w:r>
        <w:rPr>
          <w:rFonts w:ascii="Times Roman" w:hAnsi="Times Roman"/>
          <w:rtl w:val="0"/>
          <w:lang w:val="en-US"/>
        </w:rPr>
        <w:t xml:space="preserve"> within regulated data paths and across security zones, making the risks in the attached list credible on technical, operational, and regulatory grounds.</w:t>
      </w:r>
      <w:r>
        <w:rPr>
          <w:rFonts w:ascii="Arial Unicode MS" w:cs="Arial Unicode MS" w:hAnsi="Arial Unicode MS" w:eastAsia="Arial Unicode MS" w:hint="default"/>
          <w:b w:val="0"/>
          <w:bCs w:val="0"/>
          <w:i w:val="0"/>
          <w:iCs w:val="0"/>
          <w:rtl w:val="0"/>
        </w:rPr>
        <w:t></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From a compliance standpoint, it is critical to recognize that as soon as this plant bus is used to </w:t>
      </w:r>
      <w:r>
        <w:rPr>
          <w:rFonts w:ascii="Times Roman" w:hAnsi="Times Roman"/>
          <w:b w:val="1"/>
          <w:bCs w:val="1"/>
          <w:rtl w:val="0"/>
          <w:lang w:val="en-US"/>
        </w:rPr>
        <w:t>support GMP decisions or regulated records</w:t>
      </w:r>
      <w:r>
        <w:rPr>
          <w:rFonts w:ascii="Times Roman" w:hAnsi="Times Roman"/>
          <w:rtl w:val="0"/>
          <w:lang w:val="en-US"/>
        </w:rPr>
        <w:t xml:space="preserve">, it immediately becomes a GMP computerized system that must be rigorously governed across its lifecycle (risk management, supplier oversight, validation/qualification, security, backup/restore, and personnel competency). EU GMP Annex 11 explicitly mandates that GMP computerized applications be validated, that IT infrastructure be qualified, that risk management be thoroughly applied throughout the lifecycle, and that suppliers/service providers be strictly controlled through formal agreements and risk-based audits.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Cybersecurity demands urgent attention: OT</w:t>
      </w:r>
      <w:r>
        <w:rPr>
          <w:rFonts w:ascii="Times Roman" w:hAnsi="Times Roman" w:hint="default"/>
          <w:rtl w:val="0"/>
        </w:rPr>
        <w:t>–</w:t>
      </w:r>
      <w:r>
        <w:rPr>
          <w:rFonts w:ascii="Times Roman" w:hAnsi="Times Roman"/>
          <w:rtl w:val="0"/>
          <w:lang w:val="en-US"/>
        </w:rPr>
        <w:t xml:space="preserve">IT convergence is a recognized high-risk pattern. The National Institute of Standards and Technology urgently recommends a </w:t>
      </w:r>
      <w:r>
        <w:rPr>
          <w:rStyle w:val="None"/>
          <w:rFonts w:ascii="Times Roman" w:hAnsi="Times Roman"/>
          <w:b w:val="1"/>
          <w:bCs w:val="1"/>
          <w:rtl w:val="0"/>
          <w:lang w:val="en-US"/>
        </w:rPr>
        <w:t>DMZ to separate OT from enterprise networks, require all</w:t>
      </w:r>
      <w:r>
        <w:rPr>
          <w:rFonts w:ascii="Times Roman" w:hAnsi="Times Roman"/>
          <w:rtl w:val="0"/>
          <w:lang w:val="en-US"/>
        </w:rPr>
        <w:t xml:space="preserve"> communications to pass through DMZ services, and aggressively monitor those services to prevent </w:t>
      </w:r>
      <w:r>
        <w:rPr>
          <w:rFonts w:ascii="Times Roman" w:hAnsi="Times Roman" w:hint="default"/>
          <w:rtl w:val="1"/>
          <w:lang w:val="ar-SA" w:bidi="ar-SA"/>
        </w:rPr>
        <w:t>“</w:t>
      </w:r>
      <w:r>
        <w:rPr>
          <w:rFonts w:ascii="Times Roman" w:hAnsi="Times Roman"/>
          <w:rtl w:val="0"/>
        </w:rPr>
        <w:t>pivoting</w:t>
      </w:r>
      <w:r>
        <w:rPr>
          <w:rFonts w:ascii="Times Roman" w:hAnsi="Times Roman" w:hint="default"/>
          <w:rtl w:val="0"/>
        </w:rPr>
        <w:t xml:space="preserve">” </w:t>
      </w:r>
      <w:r>
        <w:rPr>
          <w:rFonts w:ascii="Times Roman" w:hAnsi="Times Roman"/>
          <w:rtl w:val="0"/>
          <w:lang w:val="en-US"/>
        </w:rPr>
        <w:t>into OT.</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most practical mitigation strategy is to treat the plant bus as a </w:t>
      </w:r>
      <w:r>
        <w:rPr>
          <w:rStyle w:val="None"/>
          <w:rFonts w:ascii="Times Roman" w:hAnsi="Times Roman"/>
          <w:b w:val="1"/>
          <w:bCs w:val="1"/>
          <w:rtl w:val="0"/>
          <w:lang w:val="en-US"/>
        </w:rPr>
        <w:t>mission-critical, validated integration service</w:t>
      </w:r>
      <w:r>
        <w:rPr>
          <w:rFonts w:ascii="Times Roman" w:hAnsi="Times Roman"/>
          <w:rtl w:val="0"/>
          <w:lang w:val="en-US"/>
        </w:rPr>
        <w:t xml:space="preserve"> with: - A zone-and-conduit network design (industrial DMZ, least-privilege firewall rules, restricted outbound paths). - Strong identity and access controls (unique users, RBAC, certificates, token-based API use). - Encryption in transit everywhere (TLS-only listeners; no plaintext MQTT). - End-to-end data integrity controls (audit trails, time sync, traceability, reconciliation, backup/restore). - High availability + buffering + disaster recovery tests (to avoid making batch record completeness fragile). - A </w:t>
      </w:r>
      <w:r>
        <w:rPr>
          <w:rFonts w:ascii="Times Roman" w:hAnsi="Times Roman" w:hint="default"/>
          <w:rtl w:val="1"/>
          <w:lang w:val="ar-SA" w:bidi="ar-SA"/>
        </w:rPr>
        <w:t>“</w:t>
      </w:r>
      <w:r>
        <w:rPr>
          <w:rFonts w:ascii="Times Roman" w:hAnsi="Times Roman"/>
          <w:rtl w:val="0"/>
          <w:lang w:val="en-US"/>
        </w:rPr>
        <w:t>quality system wrapper</w:t>
      </w:r>
      <w:r>
        <w:rPr>
          <w:rFonts w:ascii="Times Roman" w:hAnsi="Times Roman" w:hint="default"/>
          <w:rtl w:val="0"/>
        </w:rPr>
        <w:t xml:space="preserve">” </w:t>
      </w:r>
      <w:r>
        <w:rPr>
          <w:rFonts w:ascii="Times Roman" w:hAnsi="Times Roman"/>
          <w:rtl w:val="0"/>
          <w:lang w:val="en-US"/>
        </w:rPr>
        <w:t>(supplier qualification, change control, periodic review, training, and competency).</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Context and reference architecture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attached document lists six risk categories with specific fears spanning architecture, enterprise integration, GMP readiness, cybersecurity, people readiness, and timeline/vendor support. </w:t>
      </w:r>
      <w:r>
        <w:rPr>
          <w:rFonts w:ascii="Arial Unicode MS" w:cs="Arial Unicode MS" w:hAnsi="Arial Unicode MS" w:eastAsia="Arial Unicode MS" w:hint="default"/>
          <w:b w:val="0"/>
          <w:bCs w:val="0"/>
          <w:i w:val="0"/>
          <w:iCs w:val="0"/>
          <w:rtl w:val="0"/>
        </w:rPr>
        <w:t></w:t>
      </w:r>
      <w:r>
        <w:rPr>
          <w:rFonts w:ascii="Times Roman" w:hAnsi="Times Roman"/>
          <w:rtl w:val="0"/>
          <w:lang w:val="es-ES_tradnl"/>
        </w:rPr>
        <w:t>filecite</w:t>
      </w:r>
      <w:r>
        <w:rPr>
          <w:rFonts w:ascii="Arial Unicode MS" w:cs="Arial Unicode MS" w:hAnsi="Arial Unicode MS" w:eastAsia="Arial Unicode MS" w:hint="default"/>
          <w:b w:val="0"/>
          <w:bCs w:val="0"/>
          <w:i w:val="0"/>
          <w:iCs w:val="0"/>
          <w:rtl w:val="0"/>
        </w:rPr>
        <w:t></w:t>
      </w:r>
      <w:r>
        <w:rPr>
          <w:rFonts w:ascii="Times Roman" w:hAnsi="Times Roman"/>
          <w:rtl w:val="0"/>
          <w:lang w:val="en-US"/>
        </w:rPr>
        <w:t>turn2file0</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These concerns imply a system that: - Collects/normalizes OT signals (often via SCADA/OPC UA-style connectivity), - Contextualizes/model-transforms them, - Publishes them (often via MQTT) to multiple subscribers, and - Potentially influences batch record completeness and release decisions.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"https://www.ecfr.gov/current/title-21/chapter-I/subchapter-C/part-211/subpart-J/section-211.188"</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Because your network topology and IAM are unspecified, there are several unknowns: Whether OT and IT networks are already segmented, such as by Purdue levels or ISA/IEC 62443 zones; Where identity providers are hosted, for example, whether using enterprise Active Directory or a dedicated OT Active Directory/IdP; The deployment model of enterprise consumers, whether they are on-premises, cloud-based, or hybrid; Which DCS vendors or protocols are within the project scope; and Which data is considered GMP-critical versus data used only for analytics. The presence or absence of each of these factors shapes how the plant bus must be managed and secured.</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These unknowns matter because they determine whether the plant bus behaves like a </w:t>
      </w:r>
      <w:r>
        <w:rPr>
          <w:rFonts w:ascii="Times Roman" w:hAnsi="Times Roman" w:hint="default"/>
          <w:rtl w:val="1"/>
          <w:lang w:val="ar-SA" w:bidi="ar-SA"/>
        </w:rPr>
        <w:t>“</w:t>
      </w:r>
      <w:r>
        <w:rPr>
          <w:rFonts w:ascii="Times Roman" w:hAnsi="Times Roman"/>
          <w:rtl w:val="0"/>
          <w:lang w:val="en-US"/>
        </w:rPr>
        <w:t>closed system</w:t>
      </w:r>
      <w:r>
        <w:rPr>
          <w:rFonts w:ascii="Times Roman" w:hAnsi="Times Roman" w:hint="default"/>
          <w:rtl w:val="0"/>
        </w:rPr>
        <w:t xml:space="preserve">” </w:t>
      </w:r>
      <w:r>
        <w:rPr>
          <w:rFonts w:ascii="Times Roman" w:hAnsi="Times Roman"/>
          <w:rtl w:val="0"/>
          <w:lang w:val="en-US"/>
        </w:rPr>
        <w:t xml:space="preserve">or an </w:t>
      </w:r>
      <w:r>
        <w:rPr>
          <w:rFonts w:ascii="Times Roman" w:hAnsi="Times Roman" w:hint="default"/>
          <w:rtl w:val="1"/>
          <w:lang w:val="ar-SA" w:bidi="ar-SA"/>
        </w:rPr>
        <w:t>“</w:t>
      </w:r>
      <w:r>
        <w:rPr>
          <w:rFonts w:ascii="Times Roman" w:hAnsi="Times Roman"/>
          <w:rtl w:val="0"/>
          <w:lang w:val="nl-NL"/>
        </w:rPr>
        <w:t>open system</w:t>
      </w:r>
      <w:r>
        <w:rPr>
          <w:rFonts w:ascii="Times Roman" w:hAnsi="Times Roman" w:hint="default"/>
          <w:rtl w:val="0"/>
        </w:rPr>
        <w:t xml:space="preserve">” </w:t>
      </w:r>
      <w:r>
        <w:rPr>
          <w:rFonts w:ascii="Times Roman" w:hAnsi="Times Roman"/>
          <w:rtl w:val="0"/>
          <w:lang w:val="en-US"/>
        </w:rPr>
        <w:t xml:space="preserve">under 21 CFR Part 11 concepts (and how much additional protection is required).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Reference architecture and data flow</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This reference architecture aligns with OT security guidance that recommends a DMZ between OT and enterprise networks, with restricted paths and monitoring of DMZ services.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rPr>
        <w:t>flowchart LR</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subgraph OT[OT zone (Levels 0</w:t>
      </w:r>
      <w:r>
        <w:rPr>
          <w:rFonts w:ascii="Times Roman" w:hAnsi="Times Roman" w:hint="default"/>
          <w:rtl w:val="0"/>
        </w:rPr>
        <w:t>–</w:t>
      </w:r>
      <w:r>
        <w:rPr>
          <w:rFonts w:ascii="Times Roman" w:hAnsi="Times Roman"/>
          <w:rtl w:val="0"/>
        </w:rPr>
        <w:t>3)]</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DCS[DCS / PLCs / skids]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SCADA[Ignition gateways]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EDGE[HighByte hub (edge / site)]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rPr>
        <w:t>end</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de-DE"/>
        </w:rPr>
        <w:t>subgraph DMZ[Industrial DMZ (Level 3.5)]</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BROKER[HiveMQ broker / cluster]</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MGMT[Jump host + admin tooling]</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MON[SIEM / logging forwarders]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rPr>
        <w:t>end</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subgraph IT[Enterprise zone (Levels 4</w:t>
      </w:r>
      <w:r>
        <w:rPr>
          <w:rFonts w:ascii="Times Roman" w:hAnsi="Times Roman" w:hint="default"/>
          <w:rtl w:val="0"/>
        </w:rPr>
        <w:t>–</w:t>
      </w:r>
      <w:r>
        <w:rPr>
          <w:rFonts w:ascii="Times Roman" w:hAnsi="Times Roman"/>
          <w:rtl w:val="0"/>
        </w:rPr>
        <w:t>5)]</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de-DE"/>
        </w:rPr>
        <w:t>EBR[EBR/MES]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de-DE"/>
        </w:rPr>
        <w:t>ERP[ERP / LIMS / QMS]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rPr>
        <w:t>LAKE[Analytics / data lake]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rPr>
        <w:t>end</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rPr>
        <w:t>DCS --&gt;|OPC UA / drivers| SCADA</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SCADA --&gt;|modeled tags / APIs| EDGE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EDGE --&gt;|MQTT publish (TLS)| BROKER</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BROKER --&gt;|MQTT subscribe| EBR</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BROKER --&gt;|MQTT subscribe| ERP</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BROKER --&gt;|MQTT subscribe| LAKE</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MGMT --- SCADA</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MGMT --- EDGE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MGMT --- BROKER</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MON --- BROKER</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MON --- EDGE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hint="default"/>
          <w:rtl w:val="0"/>
        </w:rPr>
        <w:t> </w:t>
      </w:r>
      <w:r>
        <w:rPr>
          <w:rFonts w:ascii="Times Roman" w:hAnsi="Times Roman"/>
          <w:rtl w:val="0"/>
          <w:lang w:val="en-US"/>
        </w:rPr>
        <w:t>MON --- SCADA</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Key architectural intent: - No direct enterprise-to-OT lateral access; inter-zone traffic is brokered and tightly controlled.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w:t>
      </w:r>
      <w:r>
        <w:rPr>
          <w:rFonts w:ascii="Times Roman" w:cs="Times Roman" w:hAnsi="Times Roman" w:eastAsia="Times Roman"/>
          <w:rtl w:val="0"/>
        </w:rPr>
        <w:fldChar w:fldCharType="end" w:fldLock="0"/>
      </w:r>
      <w:r>
        <w:rPr>
          <w:rFonts w:ascii="Times Roman" w:hAnsi="Times Roman"/>
          <w:rtl w:val="0"/>
          <w:lang w:val="en-US"/>
        </w:rPr>
        <w:t xml:space="preserve"> - The MQTT broker should be treated as </w:t>
      </w:r>
      <w:r>
        <w:rPr>
          <w:rStyle w:val="None"/>
          <w:rFonts w:ascii="Times Roman" w:hAnsi="Times Roman"/>
          <w:b w:val="1"/>
          <w:bCs w:val="1"/>
          <w:rtl w:val="0"/>
          <w:lang w:val="en-US"/>
        </w:rPr>
        <w:t>critical infrastructure</w:t>
      </w:r>
      <w:r>
        <w:rPr>
          <w:rFonts w:ascii="Times Roman" w:hAnsi="Times Roman"/>
          <w:rtl w:val="0"/>
          <w:lang w:val="en-US"/>
        </w:rPr>
        <w:t xml:space="preserve"> (access control, TLS-only, monitoring, backups).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"https://docs.hivemq.com/hivemq/latest/user-guide/security.html"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Regulatory and compliance framing for biopharma</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Why are these risks </w:t>
      </w:r>
      <w:r>
        <w:rPr>
          <w:rFonts w:ascii="Times Roman" w:hAnsi="Times Roman" w:hint="default"/>
          <w:rtl w:val="1"/>
          <w:lang w:val="ar-SA" w:bidi="ar-SA"/>
        </w:rPr>
        <w:t>“</w:t>
      </w:r>
      <w:r>
        <w:rPr>
          <w:rFonts w:ascii="Times Roman" w:hAnsi="Times Roman"/>
          <w:rtl w:val="0"/>
          <w:lang w:val="en-US"/>
        </w:rPr>
        <w:t>regulatory-real</w:t>
      </w:r>
      <w:r>
        <w:rPr>
          <w:rFonts w:ascii="Times Roman" w:hAnsi="Times Roman" w:hint="default"/>
          <w:rtl w:val="0"/>
        </w:rPr>
        <w:t>”</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If the plant bus is used to support GMP activities, immediate compliance with GMP requirements for computerized systems is critical: EU GMP Annex 11 applies urgently to computerized systems in GMP-regulated activities. Validation of the application, qualification of the IT infrastructure, and lifecycle risk management must be addressed, with a focus on patient safety, data integrity, and product quality.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r>
        <w:rPr>
          <w:rFonts w:ascii="Times Roman" w:hAnsi="Times Roman"/>
          <w:rtl w:val="0"/>
          <w:lang w:val="en-US"/>
        </w:rPr>
        <w:t xml:space="preserve"> Annex 11 also demands prompt supplier/service provider control via formal agreements and risk-based audits.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In the US, the regulatory pressure points for plant bus data are urgent. Once plant bus data is included in the required records or quality decisions, 21 CFR 211.188, 211.68, and Part 11 controls trigger immediate demands for comprehensive checks, system controls, and trustworthy records. Any lapse risks FDA enforcement on data integrity or regulatory non-compliance, necessitating urgent, robust controls for all batch production and control records. Immediate action is essential to protect regulatory standing.</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it-IT"/>
        </w:rPr>
        <w:t>HIPAA applicability</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HIPAA is </w:t>
      </w:r>
      <w:r>
        <w:rPr>
          <w:rStyle w:val="None"/>
          <w:rFonts w:ascii="Times Roman" w:hAnsi="Times Roman"/>
          <w:b w:val="1"/>
          <w:bCs w:val="1"/>
          <w:rtl w:val="0"/>
          <w:lang w:val="en-US"/>
        </w:rPr>
        <w:t>conditionally relevant</w:t>
      </w:r>
      <w:r>
        <w:rPr>
          <w:rFonts w:ascii="Times Roman" w:hAnsi="Times Roman"/>
          <w:rtl w:val="0"/>
          <w:lang w:val="en-US"/>
        </w:rPr>
        <w:t>: if this plant bus transports or stores electronic protected health information (ePHI)</w:t>
      </w:r>
      <w:r>
        <w:rPr>
          <w:rFonts w:ascii="Times Roman" w:hAnsi="Times Roman" w:hint="default"/>
          <w:rtl w:val="0"/>
          <w:lang w:val="en-US"/>
        </w:rPr>
        <w:t>—</w:t>
      </w:r>
      <w:r>
        <w:rPr>
          <w:rFonts w:ascii="Times Roman" w:hAnsi="Times Roman"/>
          <w:rtl w:val="0"/>
          <w:lang w:val="en-US"/>
        </w:rPr>
        <w:t>for example, if any manufacturing execution workflows embed patient identifiers for autologous therapies</w:t>
      </w:r>
      <w:r>
        <w:rPr>
          <w:rFonts w:ascii="Times Roman" w:hAnsi="Times Roman" w:hint="default"/>
          <w:rtl w:val="0"/>
          <w:lang w:val="en-US"/>
        </w:rPr>
        <w:t>—</w:t>
      </w:r>
      <w:r>
        <w:rPr>
          <w:rFonts w:ascii="Times Roman" w:hAnsi="Times Roman"/>
          <w:rtl w:val="0"/>
          <w:lang w:val="en-US"/>
        </w:rPr>
        <w:t>then the administrative/physical/technical safeguards under the HIPAA Security Rule apply. U.S. Department of Health and Human Services</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[14]</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"https://www.hhs.gov/hipaa/for-professionals/security/index.html"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[15]</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If you can confirm that the plant bus is strictly process/equipment data with no PHI, HIPAA can usually be excluded from the scope.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Risk mapping table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table below maps </w:t>
      </w:r>
      <w:r>
        <w:rPr>
          <w:rStyle w:val="None"/>
          <w:rFonts w:ascii="Times Roman" w:hAnsi="Times Roman"/>
          <w:b w:val="1"/>
          <w:bCs w:val="1"/>
          <w:rtl w:val="0"/>
          <w:lang w:val="en-US"/>
        </w:rPr>
        <w:t>each risk item from the attached document</w:t>
      </w:r>
      <w:r>
        <w:rPr>
          <w:rFonts w:ascii="Times Roman" w:hAnsi="Times Roman"/>
          <w:rtl w:val="0"/>
          <w:lang w:val="en-US"/>
        </w:rPr>
        <w:t xml:space="preserve"> to concise mitigations and verification steps, plus priority/effort. </w:t>
      </w:r>
      <w:r>
        <w:rPr>
          <w:rFonts w:ascii="Arial Unicode MS" w:cs="Arial Unicode MS" w:hAnsi="Arial Unicode MS" w:eastAsia="Arial Unicode MS" w:hint="default"/>
          <w:b w:val="0"/>
          <w:bCs w:val="0"/>
          <w:i w:val="0"/>
          <w:iCs w:val="0"/>
          <w:rtl w:val="0"/>
        </w:rPr>
        <w:t></w:t>
      </w:r>
      <w:r>
        <w:rPr>
          <w:rFonts w:ascii="Times Roman" w:hAnsi="Times Roman"/>
          <w:rtl w:val="0"/>
          <w:lang w:val="es-ES_tradnl"/>
        </w:rPr>
        <w:t>filecite</w:t>
      </w:r>
      <w:r>
        <w:rPr>
          <w:rFonts w:ascii="Arial Unicode MS" w:cs="Arial Unicode MS" w:hAnsi="Arial Unicode MS" w:eastAsia="Arial Unicode MS" w:hint="default"/>
          <w:b w:val="0"/>
          <w:bCs w:val="0"/>
          <w:i w:val="0"/>
          <w:iCs w:val="0"/>
          <w:rtl w:val="0"/>
        </w:rPr>
        <w:t></w:t>
      </w:r>
      <w:r>
        <w:rPr>
          <w:rFonts w:ascii="Times Roman" w:hAnsi="Times Roman"/>
          <w:rtl w:val="0"/>
          <w:lang w:val="en-US"/>
        </w:rPr>
        <w:t>turn2file0</w:t>
      </w:r>
      <w:r>
        <w:rPr>
          <w:rFonts w:ascii="Arial Unicode MS" w:cs="Arial Unicode MS" w:hAnsi="Arial Unicode MS" w:eastAsia="Arial Unicode MS" w:hint="default"/>
          <w:b w:val="0"/>
          <w:bCs w:val="0"/>
          <w:i w:val="0"/>
          <w:iCs w:val="0"/>
          <w:rtl w:val="0"/>
        </w:rPr>
        <w:t></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Detailed validation/mitigation/verification/trade-off analyses follow in the next section.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797"/>
        <w:gridCol w:w="2332"/>
        <w:gridCol w:w="1573"/>
        <w:gridCol w:w="1829"/>
        <w:gridCol w:w="1829"/>
      </w:tblGrid>
      <w:tr>
        <w:tblPrEx>
          <w:shd w:val="clear" w:color="auto" w:fill="cad1d7"/>
        </w:tblPrEx>
        <w:trPr>
          <w:trHeight w:val="36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Risk</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Key mitigations</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Verification &amp; metrics</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Priority</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Effort</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New OT middleware (no pharma track record)</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Supplier qualification, pilot in GxP boundary, quality agreement</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Supplier audit complete; pilot URS met</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r>
      <w:tr>
        <w:tblPrEx>
          <w:shd w:val="clear" w:color="auto" w:fill="cad1d7"/>
        </w:tblPrEx>
        <w:trPr>
          <w:trHeight w:val="608"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Bridging IT/OT networks</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IDMZ, firewall allow-list, one-way patterns</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 direct L4</w:t>
            </w: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L2 paths; pivot test blocked</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Data-critical middleware</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HA, buffering, DR plan, defined RTO/RPO</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Failover &lt; RTO; data loss rate</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Inductive Automation limited pharma experience</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Supplier assessment, reference sites, extra validation rigor</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Supplier assessment approved by QA</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E2E data flow for batch record completeness</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Reconciliation, source-of-truth rules, fallback capture</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batches with missing events</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IT/OT boundary understanding</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RACI, governance, change control, interfaces defined</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Change audits pass; clear ownership</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Multi-DCS integration complexity</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Canonical model, contract tests, phased rollout</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Integration test pass rate; defect trend</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Data integrity / ALCOA requirements</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Audit trails, time sync, immutable logs, access controls</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Audit trail coverage; time drift</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Batch record completeness dependency</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Don</w:t>
            </w: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 make bus sole record; buffering + manual fallback</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Batch review exceptions trend</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CSA validation of new platform</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Risk-based assurance, traceability, change impact testing</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Validation evidence completeness</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Crosses DMZ between OT and IT</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Two-firewall DMZ, no shared trust, tight ports</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Firewall rules reviewed; IDS alerts</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New attack surface from IT/OT convergence</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Threat modeling, MFA/admin controls, monitoring</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Vuln scan results; MTTD/MTTR</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Skills gap (limited expertise at pharma scale)</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Training, runbooks, competency checks</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Training completion; drills scores</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Resourcing unknowns</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Capacity plan, staffing model, escalation paths</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On-call coverage; backlog metrics</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Training requirements</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Role-based training + Part 11/DI training</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Competency sign-offs; audit results</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Aggressive timeline</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Stage gates, de-scope, pilot-first, entry/exit criteria</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Gate adherence; defect density trend</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Resource constraints</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Reduce scope, reuse patterns, tooling automation</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Delivery vs capacity variance</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r>
      <w:tr>
        <w:tblPrEx>
          <w:shd w:val="clear" w:color="auto" w:fill="cad1d7"/>
        </w:tblPrEx>
        <w:trPr>
          <w:trHeight w:val="580" w:hRule="atLeast"/>
        </w:trPr>
        <w:tc>
          <w:tcPr>
            <w:tcW w:type="dxa" w:w="1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Vendor support questioned</w:t>
            </w:r>
          </w:p>
        </w:tc>
        <w:tc>
          <w:tcPr>
            <w:tcW w:type="dxa" w:w="233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SLAs, escalation, patch cadence, support drills</w:t>
            </w:r>
          </w:p>
        </w:tc>
        <w:tc>
          <w:tcPr>
            <w:tcW w:type="dxa" w:w="1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SLA compliance; bug fix cycle time</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c>
          <w:tcPr>
            <w:tcW w:type="dxa" w:w="182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20"/>
              <w:left w:type="dxa" w:w="20"/>
              <w:bottom w:type="dxa" w:w="20"/>
              <w:right w:type="dxa" w:w="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Medium</w:t>
            </w:r>
          </w:p>
        </w:tc>
      </w:tr>
    </w:tbl>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Risk-by-risk deep dive with validation, mitigations, verification, and residual risk</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All risks below are taken verbatim (or near-verbatim) from the attached </w:t>
      </w:r>
      <w:r>
        <w:rPr>
          <w:rFonts w:ascii="Times Roman" w:hAnsi="Times Roman" w:hint="default"/>
          <w:rtl w:val="1"/>
          <w:lang w:val="ar-SA" w:bidi="ar-SA"/>
        </w:rPr>
        <w:t>“</w:t>
      </w:r>
      <w:r>
        <w:rPr>
          <w:rFonts w:ascii="Times Roman" w:hAnsi="Times Roman"/>
          <w:rtl w:val="0"/>
          <w:lang w:val="da-DK"/>
        </w:rPr>
        <w:t>PB Risks</w:t>
      </w:r>
      <w:r>
        <w:rPr>
          <w:rFonts w:ascii="Times Roman" w:hAnsi="Times Roman" w:hint="default"/>
          <w:rtl w:val="0"/>
        </w:rPr>
        <w:t xml:space="preserve">” </w:t>
      </w:r>
      <w:r>
        <w:rPr>
          <w:rFonts w:ascii="Times Roman" w:hAnsi="Times Roman"/>
          <w:rtl w:val="0"/>
        </w:rPr>
        <w:t xml:space="preserve">document. </w:t>
      </w:r>
      <w:r>
        <w:rPr>
          <w:rFonts w:ascii="Arial Unicode MS" w:cs="Arial Unicode MS" w:hAnsi="Arial Unicode MS" w:eastAsia="Arial Unicode MS" w:hint="default"/>
          <w:b w:val="0"/>
          <w:bCs w:val="0"/>
          <w:i w:val="0"/>
          <w:iCs w:val="0"/>
          <w:rtl w:val="0"/>
        </w:rPr>
        <w:t></w:t>
      </w:r>
      <w:r>
        <w:rPr>
          <w:rFonts w:ascii="Times Roman" w:hAnsi="Times Roman"/>
          <w:rtl w:val="0"/>
          <w:lang w:val="es-ES_tradnl"/>
        </w:rPr>
        <w:t>filecite</w:t>
      </w:r>
      <w:r>
        <w:rPr>
          <w:rFonts w:ascii="Arial Unicode MS" w:cs="Arial Unicode MS" w:hAnsi="Arial Unicode MS" w:eastAsia="Arial Unicode MS" w:hint="default"/>
          <w:b w:val="0"/>
          <w:bCs w:val="0"/>
          <w:i w:val="0"/>
          <w:iCs w:val="0"/>
          <w:rtl w:val="0"/>
        </w:rPr>
        <w:t></w:t>
      </w:r>
      <w:r>
        <w:rPr>
          <w:rFonts w:ascii="Times Roman" w:hAnsi="Times Roman"/>
          <w:rtl w:val="0"/>
          <w:lang w:val="en-US"/>
        </w:rPr>
        <w:t>turn2file0</w:t>
      </w:r>
      <w:r>
        <w:rPr>
          <w:rFonts w:ascii="Arial Unicode MS" w:cs="Arial Unicode MS" w:hAnsi="Arial Unicode MS" w:eastAsia="Arial Unicode MS" w:hint="default"/>
          <w:b w:val="0"/>
          <w:bCs w:val="0"/>
          <w:i w:val="0"/>
          <w:iCs w:val="0"/>
          <w:rtl w:val="0"/>
        </w:rPr>
        <w:t></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System architecture and technology risks</w:t>
      </w: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New OT middleware (no pharma track record)</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In regulated manufacturing, novelty itself is a risk multiplier because you must demonstrate control, traceability, and fitness for intended use across the full system lifecycle</w:t>
      </w:r>
      <w:r>
        <w:rPr>
          <w:rFonts w:ascii="Times Roman" w:hAnsi="Times Roman" w:hint="default"/>
          <w:rtl w:val="0"/>
          <w:lang w:val="en-US"/>
        </w:rPr>
        <w:t>—</w:t>
      </w:r>
      <w:r>
        <w:rPr>
          <w:rFonts w:ascii="Times Roman" w:hAnsi="Times Roman"/>
          <w:rtl w:val="0"/>
          <w:lang w:val="en-US"/>
        </w:rPr>
        <w:t xml:space="preserve">not just that the technology </w:t>
      </w:r>
      <w:r>
        <w:rPr>
          <w:rFonts w:ascii="Times Roman" w:hAnsi="Times Roman" w:hint="default"/>
          <w:rtl w:val="1"/>
          <w:lang w:val="ar-SA" w:bidi="ar-SA"/>
        </w:rPr>
        <w:t>“</w:t>
      </w:r>
      <w:r>
        <w:rPr>
          <w:rFonts w:ascii="Times Roman" w:hAnsi="Times Roman"/>
          <w:rtl w:val="0"/>
          <w:lang w:val="en-US"/>
        </w:rPr>
        <w:t>works.</w:t>
      </w:r>
      <w:r>
        <w:rPr>
          <w:rFonts w:ascii="Times Roman" w:hAnsi="Times Roman" w:hint="default"/>
          <w:rtl w:val="0"/>
        </w:rPr>
        <w:t xml:space="preserve">” </w:t>
      </w:r>
      <w:r>
        <w:rPr>
          <w:rFonts w:ascii="Times Roman" w:hAnsi="Times Roman"/>
          <w:rtl w:val="0"/>
          <w:lang w:val="en-US"/>
        </w:rPr>
        <w:t xml:space="preserve">EU Annex 11 explicitly requires lifecycle risk management (patient safety, data integrity, product quality), validation of computerized applications, qualified infrastructure, and formal supplier/service agreements with risk-based supplier audits. If a platform has a limited history in similar regulated deployments, your organization bears more burden to establish evidence and governance.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Supplier qualification package</w:t>
      </w:r>
      <w:r>
        <w:rPr>
          <w:rFonts w:ascii="Times Roman" w:hAnsi="Times Roman"/>
          <w:rtl w:val="0"/>
          <w:lang w:val="en-US"/>
        </w:rPr>
        <w:t xml:space="preserve"> (High / Medium): Perform a documented supplier assessment (quality system, SDLC practices, security practices, vulnerability disclosure, support model) and decide whether an on-site or remote supplier audit is required based on risk.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Define intended use + data criticality classification</w:t>
      </w:r>
      <w:r>
        <w:rPr>
          <w:rFonts w:ascii="Times Roman" w:hAnsi="Times Roman"/>
          <w:rtl w:val="0"/>
          <w:lang w:val="en-US"/>
        </w:rPr>
        <w:t xml:space="preserve"> (High / Medium): Create a URS that explicitly partitions data flows into </w:t>
      </w:r>
      <w:r>
        <w:rPr>
          <w:rFonts w:ascii="Times Roman" w:hAnsi="Times Roman" w:hint="default"/>
          <w:rtl w:val="1"/>
          <w:lang w:val="ar-SA" w:bidi="ar-SA"/>
        </w:rPr>
        <w:t>“</w:t>
      </w:r>
      <w:r>
        <w:rPr>
          <w:rFonts w:ascii="Times Roman" w:hAnsi="Times Roman"/>
          <w:rtl w:val="0"/>
          <w:lang w:val="en-US"/>
        </w:rPr>
        <w:t>GMP-critical</w:t>
      </w:r>
      <w:r>
        <w:rPr>
          <w:rFonts w:ascii="Times Roman" w:hAnsi="Times Roman" w:hint="default"/>
          <w:rtl w:val="0"/>
        </w:rPr>
        <w:t xml:space="preserve">” </w:t>
      </w:r>
      <w:r>
        <w:rPr>
          <w:rFonts w:ascii="Times Roman" w:hAnsi="Times Roman"/>
          <w:rtl w:val="0"/>
          <w:lang w:val="sv-SE"/>
        </w:rPr>
        <w:t xml:space="preserve">vs </w:t>
      </w:r>
      <w:r>
        <w:rPr>
          <w:rFonts w:ascii="Times Roman" w:hAnsi="Times Roman" w:hint="default"/>
          <w:rtl w:val="1"/>
          <w:lang w:val="ar-SA" w:bidi="ar-SA"/>
        </w:rPr>
        <w:t>“</w:t>
      </w:r>
      <w:r>
        <w:rPr>
          <w:rFonts w:ascii="Times Roman" w:hAnsi="Times Roman"/>
          <w:rtl w:val="0"/>
          <w:lang w:val="en-US"/>
        </w:rPr>
        <w:t>business/analytics,</w:t>
      </w:r>
      <w:r>
        <w:rPr>
          <w:rFonts w:ascii="Times Roman" w:hAnsi="Times Roman" w:hint="default"/>
          <w:rtl w:val="0"/>
        </w:rPr>
        <w:t xml:space="preserve">” </w:t>
      </w:r>
      <w:r>
        <w:rPr>
          <w:rFonts w:ascii="Times Roman" w:hAnsi="Times Roman"/>
          <w:rtl w:val="0"/>
          <w:lang w:val="en-US"/>
        </w:rPr>
        <w:t xml:space="preserve">then enforce different controls per class (e.g., audit trail + strict access control for GMP-critical). Annex 11 expects documented, justified risk assessment to drive validation and data integrity controls.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[16]</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Pilot inside a controlled GxP boundary before scaling</w:t>
      </w:r>
      <w:r>
        <w:rPr>
          <w:rFonts w:ascii="Times Roman" w:hAnsi="Times Roman"/>
          <w:rtl w:val="0"/>
          <w:lang w:val="en-US"/>
        </w:rPr>
        <w:t xml:space="preserve"> (High / Medium): Deploy one site/line pilot with full change control, security hardening, monitoring, and reconciliation</w:t>
      </w:r>
      <w:r>
        <w:rPr>
          <w:rFonts w:ascii="Times Roman" w:hAnsi="Times Roman" w:hint="default"/>
          <w:rtl w:val="0"/>
          <w:lang w:val="en-US"/>
        </w:rPr>
        <w:t>—</w:t>
      </w:r>
      <w:r>
        <w:rPr>
          <w:rFonts w:ascii="Times Roman" w:hAnsi="Times Roman"/>
          <w:rtl w:val="0"/>
          <w:lang w:val="en-US"/>
        </w:rPr>
        <w:t xml:space="preserve">then expand only after passing predefined exit criteria (see verification steps below).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[17]</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Quality agreement and operational SLAs</w:t>
      </w:r>
      <w:r>
        <w:rPr>
          <w:rFonts w:ascii="Times Roman" w:hAnsi="Times Roman"/>
          <w:rtl w:val="0"/>
          <w:lang w:val="en-US"/>
        </w:rPr>
        <w:t xml:space="preserve"> (High / Low): Put formal agreements in place that specify responsibilities, incident response timelines, patch/upgrade cadence, and escalation paths (Annex 11 explicitly calls for formal agreements and clear responsibility statements with third parties).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Supplier assessment and (if required) supplier audit completed, approved by QA; findings closed with CAPA.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URS approved; risk assessment completed; validation strategy defined with traceability from URS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rPr>
        <w:t xml:space="preserve">tests.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[17]</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Pilot exit metrics: &lt;1% </w:t>
      </w:r>
      <w:r>
        <w:rPr>
          <w:rFonts w:ascii="Times Roman" w:hAnsi="Times Roman" w:hint="default"/>
          <w:rtl w:val="1"/>
          <w:lang w:val="ar-SA" w:bidi="ar-SA"/>
        </w:rPr>
        <w:t>“</w:t>
      </w:r>
      <w:r>
        <w:rPr>
          <w:rFonts w:ascii="Times Roman" w:hAnsi="Times Roman"/>
          <w:rtl w:val="0"/>
          <w:lang w:val="en-US"/>
        </w:rPr>
        <w:t>lost/late</w:t>
      </w:r>
      <w:r>
        <w:rPr>
          <w:rFonts w:ascii="Times Roman" w:hAnsi="Times Roman" w:hint="default"/>
          <w:rtl w:val="0"/>
        </w:rPr>
        <w:t xml:space="preserve">” </w:t>
      </w:r>
      <w:r>
        <w:rPr>
          <w:rFonts w:ascii="Times Roman" w:hAnsi="Times Roman"/>
          <w:rtl w:val="0"/>
          <w:lang w:val="en-US"/>
        </w:rPr>
        <w:t xml:space="preserve">critical events, successful restore-from-backup test, and successful incident response tabletop.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"https://docs.hivemq.com/hivemq/latest/user-guide/backup-restore.html"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[18]</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Greater upfront qualification/validation effort (time/cost) is unavoidable; the trade is reduced surprise risk during inspections and scale-out. Even with strong governance, novel platforms can surface edge-case operational behaviors under pharma-scale loads, so a staged adoption risk posture is realistic.</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Bridging IT/OT networks</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OT networks are designed for availability and safety; connecting them to enterprise networks increases the risk of cyber pivoting, lateral movement, and unintended operational impacts. NIST OT security guidance explicitly recommends implementing a DMZ to separate OT from the enterprise network and routing enterprise</w:t>
      </w:r>
      <w:r>
        <w:rPr>
          <w:rFonts w:ascii="Arial Unicode MS" w:cs="Arial Unicode MS" w:hAnsi="Arial Unicode MS" w:eastAsia="Arial Unicode MS" w:hint="default"/>
          <w:b w:val="0"/>
          <w:bCs w:val="0"/>
          <w:i w:val="0"/>
          <w:iCs w:val="0"/>
          <w:rtl w:val="0"/>
        </w:rPr>
        <w:t>↔</w:t>
      </w:r>
      <w:r>
        <w:rPr>
          <w:rFonts w:ascii="Times Roman" w:hAnsi="Times Roman"/>
          <w:rtl w:val="0"/>
          <w:lang w:val="en-US"/>
        </w:rPr>
        <w:t xml:space="preserve">operations communications through DMZ services, with monitoring/protection to prevent attackers from pivoting into OT.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Adopt a zone-and-conduit network design with an industrial DMZ</w:t>
      </w:r>
      <w:r>
        <w:rPr>
          <w:rFonts w:ascii="Times Roman" w:hAnsi="Times Roman"/>
          <w:rtl w:val="0"/>
          <w:lang w:val="en-US"/>
        </w:rPr>
        <w:t xml:space="preserve"> (High / High): Use two firewalls (enterprise</w:t>
      </w:r>
      <w:r>
        <w:rPr>
          <w:rFonts w:ascii="Arial Unicode MS" w:cs="Arial Unicode MS" w:hAnsi="Arial Unicode MS" w:eastAsia="Arial Unicode MS" w:hint="default"/>
          <w:b w:val="0"/>
          <w:bCs w:val="0"/>
          <w:i w:val="0"/>
          <w:iCs w:val="0"/>
          <w:rtl w:val="0"/>
        </w:rPr>
        <w:t>↔</w:t>
      </w:r>
      <w:r>
        <w:rPr>
          <w:rFonts w:ascii="Times Roman" w:hAnsi="Times Roman"/>
          <w:rtl w:val="0"/>
          <w:lang w:val="en-US"/>
        </w:rPr>
        <w:t>DMZ and DMZ</w:t>
      </w:r>
      <w:r>
        <w:rPr>
          <w:rFonts w:ascii="Arial Unicode MS" w:cs="Arial Unicode MS" w:hAnsi="Arial Unicode MS" w:eastAsia="Arial Unicode MS" w:hint="default"/>
          <w:b w:val="0"/>
          <w:bCs w:val="0"/>
          <w:i w:val="0"/>
          <w:iCs w:val="0"/>
          <w:rtl w:val="0"/>
        </w:rPr>
        <w:t>↔</w:t>
      </w:r>
      <w:r>
        <w:rPr>
          <w:rFonts w:ascii="Times Roman" w:hAnsi="Times Roman"/>
          <w:rtl w:val="0"/>
          <w:lang w:val="en-US"/>
        </w:rPr>
        <w:t xml:space="preserve">OT) and enforce that enterprise systems never directly communicate with control-level systems.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 xml:space="preserve">Firewall allow-listing and </w:t>
      </w:r>
      <w:r>
        <w:rPr>
          <w:rStyle w:val="None"/>
          <w:rFonts w:ascii="Times Roman" w:hAnsi="Times Roman" w:hint="default"/>
          <w:b w:val="1"/>
          <w:bCs w:val="1"/>
          <w:rtl w:val="1"/>
          <w:lang w:val="ar-SA" w:bidi="ar-SA"/>
        </w:rPr>
        <w:t>“</w:t>
      </w:r>
      <w:r>
        <w:rPr>
          <w:rStyle w:val="None"/>
          <w:rFonts w:ascii="Times Roman" w:hAnsi="Times Roman"/>
          <w:b w:val="1"/>
          <w:bCs w:val="1"/>
          <w:rtl w:val="0"/>
          <w:lang w:val="en-US"/>
        </w:rPr>
        <w:t>adjacent-level only</w:t>
      </w:r>
      <w:r>
        <w:rPr>
          <w:rStyle w:val="None"/>
          <w:rFonts w:ascii="Times Roman" w:hAnsi="Times Roman" w:hint="default"/>
          <w:b w:val="1"/>
          <w:bCs w:val="1"/>
          <w:rtl w:val="0"/>
        </w:rPr>
        <w:t xml:space="preserve">” </w:t>
      </w:r>
      <w:r>
        <w:rPr>
          <w:rStyle w:val="None"/>
          <w:rFonts w:ascii="Times Roman" w:hAnsi="Times Roman"/>
          <w:b w:val="1"/>
          <w:bCs w:val="1"/>
          <w:rtl w:val="0"/>
          <w:lang w:val="en-US"/>
        </w:rPr>
        <w:t>routing rules</w:t>
      </w:r>
      <w:r>
        <w:rPr>
          <w:rFonts w:ascii="Times Roman" w:hAnsi="Times Roman"/>
          <w:rtl w:val="0"/>
          <w:lang w:val="en-US"/>
        </w:rPr>
        <w:t xml:space="preserve"> (High / High): NIST emphasizes strict firewall rulesets that only permit connections between adjacent levels/zones (prevent L4 direct access to L2/L1/L0). Implement this concretely as an allow-list per port/protocol/direction.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[19]</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One-way data patterns for GMP-critical flows where possible</w:t>
      </w:r>
      <w:r>
        <w:rPr>
          <w:rFonts w:ascii="Times Roman" w:hAnsi="Times Roman"/>
          <w:rtl w:val="0"/>
          <w:lang w:val="en-US"/>
        </w:rPr>
        <w:t xml:space="preserve"> (High / Medium): Prefer OT</w:t>
      </w:r>
      <w:r>
        <w:rPr>
          <w:rFonts w:ascii="Arial Unicode MS" w:cs="Arial Unicode MS" w:hAnsi="Arial Unicode MS" w:eastAsia="Arial Unicode MS" w:hint="default"/>
          <w:b w:val="0"/>
          <w:bCs w:val="0"/>
          <w:i w:val="0"/>
          <w:iCs w:val="0"/>
          <w:rtl w:val="0"/>
        </w:rPr>
        <w:t>→</w:t>
      </w:r>
      <w:r>
        <w:rPr>
          <w:rFonts w:ascii="Times Roman" w:hAnsi="Times Roman"/>
          <w:rtl w:val="0"/>
          <w:lang w:val="en-US"/>
        </w:rPr>
        <w:t>DMZ</w:t>
      </w:r>
      <w:r>
        <w:rPr>
          <w:rFonts w:ascii="Arial Unicode MS" w:cs="Arial Unicode MS" w:hAnsi="Arial Unicode MS" w:eastAsia="Arial Unicode MS" w:hint="default"/>
          <w:b w:val="0"/>
          <w:bCs w:val="0"/>
          <w:i w:val="0"/>
          <w:iCs w:val="0"/>
          <w:rtl w:val="0"/>
        </w:rPr>
        <w:t>→</w:t>
      </w:r>
      <w:r>
        <w:rPr>
          <w:rFonts w:ascii="Times Roman" w:hAnsi="Times Roman"/>
          <w:rtl w:val="0"/>
          <w:lang w:val="en-US"/>
        </w:rPr>
        <w:t>IT publish patterns; avoid establishing IT</w:t>
      </w:r>
      <w:r>
        <w:rPr>
          <w:rFonts w:ascii="Arial Unicode MS" w:cs="Arial Unicode MS" w:hAnsi="Arial Unicode MS" w:eastAsia="Arial Unicode MS" w:hint="default"/>
          <w:b w:val="0"/>
          <w:bCs w:val="0"/>
          <w:i w:val="0"/>
          <w:iCs w:val="0"/>
          <w:rtl w:val="0"/>
        </w:rPr>
        <w:t>→</w:t>
      </w:r>
      <w:r>
        <w:rPr>
          <w:rFonts w:ascii="Times Roman" w:hAnsi="Times Roman"/>
          <w:rtl w:val="0"/>
          <w:lang w:val="en-US"/>
        </w:rPr>
        <w:t xml:space="preserve">OT command channels unless there is a strong safety and validation case and a dedicated hazard/security analysis.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[20]</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 xml:space="preserve">Separate identity planes (avoid </w:t>
      </w:r>
      <w:r>
        <w:rPr>
          <w:rStyle w:val="None"/>
          <w:rFonts w:ascii="Times Roman" w:hAnsi="Times Roman" w:hint="default"/>
          <w:b w:val="1"/>
          <w:bCs w:val="1"/>
          <w:rtl w:val="1"/>
          <w:lang w:val="ar-SA" w:bidi="ar-SA"/>
        </w:rPr>
        <w:t>“</w:t>
      </w:r>
      <w:r>
        <w:rPr>
          <w:rStyle w:val="None"/>
          <w:rFonts w:ascii="Times Roman" w:hAnsi="Times Roman"/>
          <w:b w:val="1"/>
          <w:bCs w:val="1"/>
          <w:rtl w:val="0"/>
          <w:lang w:val="en-US"/>
        </w:rPr>
        <w:t>mixed trust</w:t>
      </w:r>
      <w:r>
        <w:rPr>
          <w:rStyle w:val="None"/>
          <w:rFonts w:ascii="Times Roman" w:hAnsi="Times Roman" w:hint="default"/>
          <w:b w:val="1"/>
          <w:bCs w:val="1"/>
          <w:rtl w:val="0"/>
        </w:rPr>
        <w:t xml:space="preserve">” </w:t>
      </w:r>
      <w:r>
        <w:rPr>
          <w:rStyle w:val="None"/>
          <w:rFonts w:ascii="Times Roman" w:hAnsi="Times Roman"/>
          <w:b w:val="1"/>
          <w:bCs w:val="1"/>
          <w:rtl w:val="0"/>
          <w:lang w:val="en-US"/>
        </w:rPr>
        <w:t>if feasible)</w:t>
      </w:r>
      <w:r>
        <w:rPr>
          <w:rFonts w:ascii="Times Roman" w:hAnsi="Times Roman"/>
          <w:rtl w:val="0"/>
          <w:lang w:val="en-US"/>
        </w:rPr>
        <w:t xml:space="preserve"> (Medium / Medium): NIST notes architectures that use separate authentication servers for IT vs OT users in different zones; this can reduce cross-boundary identity dependencies.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Documented network topology with zone boundaries; firewall rules reviewed and approved by OT security + IT security; quarterly rule recertification.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[19]</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Red-team/pivot testing: demonstrate that compromise of a DMZ host does not allow unauthorized access to OT control assets.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Metrics: blocked connection attempts from enterprise to OT zones; number of firewall rule changes; mean time to detect anomalous cross-zone traffic.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"https://docs.hivemq.com/hivemq/latest/user-guide/monitoring.html"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DMZ design reduces risk but adds latency, operational overhead, and change coordination. Some integration use cases (e.g., enterprise scheduling feedback) may demand limited IT</w:t>
      </w:r>
      <w:r>
        <w:rPr>
          <w:rFonts w:ascii="Arial Unicode MS" w:cs="Arial Unicode MS" w:hAnsi="Arial Unicode MS" w:eastAsia="Arial Unicode MS" w:hint="default"/>
          <w:b w:val="0"/>
          <w:bCs w:val="0"/>
          <w:i w:val="0"/>
          <w:iCs w:val="0"/>
          <w:rtl w:val="0"/>
        </w:rPr>
        <w:t>→</w:t>
      </w:r>
      <w:r>
        <w:rPr>
          <w:rFonts w:ascii="Times Roman" w:hAnsi="Times Roman"/>
          <w:rtl w:val="0"/>
          <w:lang w:val="en-US"/>
        </w:rPr>
        <w:t>OT paths; if you enable them, you accept higher residual cyber risk and higher validation burden.</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Data-critical middleware</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If plant bus data becomes an input to batch review, deviation investigations, or equipment/process decisions, it becomes production-critical and potentially GMP-critical. FDA</w:t>
      </w:r>
      <w:r>
        <w:rPr>
          <w:rFonts w:ascii="Times Roman" w:hAnsi="Times Roman" w:hint="default"/>
          <w:rtl w:val="1"/>
        </w:rPr>
        <w:t>’</w:t>
      </w:r>
      <w:r>
        <w:rPr>
          <w:rFonts w:ascii="Times Roman" w:hAnsi="Times Roman"/>
          <w:rtl w:val="0"/>
          <w:lang w:val="en-US"/>
        </w:rPr>
        <w:t xml:space="preserve">s CGMP data integrity guidance stresses that data integrity applies across the full data lifecycle (creation through transmission and retention) and expects system design/controls to enable detection of errors and omissions. If middleware drops, delays, or duplicates events, those failures directly create risks to data integrity and batch record completeness.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"https://www.fda.gov/media/119267/download"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[23]</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Define RTO/RPO and design to them</w:t>
      </w:r>
      <w:r>
        <w:rPr>
          <w:rFonts w:ascii="Times Roman" w:hAnsi="Times Roman"/>
          <w:rtl w:val="0"/>
          <w:lang w:val="en-US"/>
        </w:rPr>
        <w:t xml:space="preserve"> (High / Medium): Treat MQTT broker, model/pipeline layer, and SCADA gateway as </w:t>
      </w:r>
      <w:r>
        <w:rPr>
          <w:rFonts w:ascii="Times Roman" w:hAnsi="Times Roman" w:hint="default"/>
          <w:rtl w:val="1"/>
          <w:lang w:val="ar-SA" w:bidi="ar-SA"/>
        </w:rPr>
        <w:t>“</w:t>
      </w:r>
      <w:r>
        <w:rPr>
          <w:rFonts w:ascii="Times Roman" w:hAnsi="Times Roman"/>
          <w:rtl w:val="0"/>
          <w:lang w:val="de-DE"/>
        </w:rPr>
        <w:t>tier-1</w:t>
      </w:r>
      <w:r>
        <w:rPr>
          <w:rFonts w:ascii="Times Roman" w:hAnsi="Times Roman" w:hint="default"/>
          <w:rtl w:val="0"/>
        </w:rPr>
        <w:t xml:space="preserve">” </w:t>
      </w:r>
      <w:r>
        <w:rPr>
          <w:rFonts w:ascii="Times Roman" w:hAnsi="Times Roman"/>
          <w:rtl w:val="0"/>
          <w:lang w:val="en-US"/>
        </w:rPr>
        <w:t xml:space="preserve">services with explicit availability targets and tested recovery procedures.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"https://docs.hivemq.com/hivemq/latest/user-guide/backup-restore.html"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[24]</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Style w:val="None"/>
          <w:rFonts w:ascii="Times Roman" w:hAnsi="Times Roman"/>
          <w:b w:val="0"/>
          <w:bCs w:val="0"/>
          <w:rtl w:val="0"/>
          <w:lang w:val="ru-RU"/>
        </w:rPr>
        <w:t xml:space="preserve">- </w:t>
      </w:r>
      <w:r>
        <w:rPr>
          <w:rFonts w:ascii="Times Roman" w:hAnsi="Times Roman"/>
          <w:b w:val="1"/>
          <w:bCs w:val="1"/>
          <w:rtl w:val="0"/>
          <w:lang w:val="en-US"/>
        </w:rPr>
        <w:t>High availability + redundancy across the stack</w:t>
      </w:r>
      <w:r>
        <w:rPr>
          <w:rStyle w:val="None"/>
          <w:rFonts w:ascii="Times Roman" w:hAnsi="Times Roman"/>
          <w:b w:val="0"/>
          <w:bCs w:val="0"/>
          <w:rtl w:val="0"/>
          <w:lang w:val="en-US"/>
        </w:rPr>
        <w:t xml:space="preserve"> (High / High):</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Ignition: use its 2-node redundancy architecture for mission-critical execution continuity.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"https://www.docs.inductiveautomation.com/docs/8.1/system-architectures/redundancy-architecture"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[25]</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HighByte: use High Availability mode or redundancy (standby failover), and use store-and-forward to buffer on output failures.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"https://guide.highbyte.com/setup/high_availability/"</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[26]</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HiveMQ: use clustering with replication and defined replica counts; enable backup/restore workflows.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"https://docs.hivemq.com/hivemq/latest/user-guide/cluster.html"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[27]</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Backpressure and overload protection</w:t>
      </w:r>
      <w:r>
        <w:rPr>
          <w:rFonts w:ascii="Times Roman" w:hAnsi="Times Roman"/>
          <w:rtl w:val="0"/>
          <w:lang w:val="en-US"/>
        </w:rPr>
        <w:t xml:space="preserve"> (Medium / Medium): Use broker overload controls to avoid cascade failure under load spikes and prevent OT publishers from overwhelming middleware.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"https://docs.hivemq.com/hivemq/4.5/user-guide/overload-protection.html"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[28]</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Fail-safe degradation rules</w:t>
      </w:r>
      <w:r>
        <w:rPr>
          <w:rFonts w:ascii="Times Roman" w:hAnsi="Times Roman"/>
          <w:rtl w:val="0"/>
          <w:lang w:val="en-US"/>
        </w:rPr>
        <w:t xml:space="preserve"> (High / Medium): Define what happens when the bus is down: what data must be locally buffered, what triggers a manual log, what triggers batch hold/escalation</w:t>
      </w:r>
      <w:r>
        <w:rPr>
          <w:rFonts w:ascii="Times Roman" w:hAnsi="Times Roman" w:hint="default"/>
          <w:rtl w:val="0"/>
          <w:lang w:val="en-US"/>
        </w:rPr>
        <w:t>—</w:t>
      </w:r>
      <w:r>
        <w:rPr>
          <w:rFonts w:ascii="Times Roman" w:hAnsi="Times Roman"/>
          <w:rtl w:val="0"/>
          <w:lang w:val="en-US"/>
        </w:rPr>
        <w:t xml:space="preserve">and encode these rules into SOPs and batch review procedures.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"https://www.fda.gov/media/119267/download"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[23]</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Quarterly failover tests: measure end-to-end recovery time and confirm there is no critical data loss beyond the RPO.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"https://docs.hivemq.com/hivemq/latest/user-guide/backup-restore.html"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[29]</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Store-and-forward drills: simulate enterprise outage and verify buffered events flush in FIFO order with preserved timestamps.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"https://support.highbyte.com/kb/how-to/connections/how-to-utilize-store-forward"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[30]</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Metrics: publish/subscribe success rate, queued backlog size, dropped message count, mean time to recovery, and end-to-end event latency percentiles.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"https://docs.hivemq.com/hivemq/latest/user-guide/monitoring.html"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High availability and buffering reduce data loss risk but increase complexity and operational burden (more nodes, more certificates, more patch windows). Buffering can also increase the chance of duplicate delivery after recovery, so consumers must be idempotent (a real integration trade-off).</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Inductive Automation's limited pharma experience</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Even if the technology is solid, regulated firms must demonstrate that their computerized systems and suppliers are properly controlled. EU Annex 11 explicitly lists supplier competence and reliability as </w:t>
      </w:r>
      <w:r>
        <w:rPr>
          <w:rFonts w:ascii="Times Roman" w:hAnsi="Times Roman" w:hint="default"/>
          <w:rtl w:val="1"/>
          <w:lang w:val="ar-SA" w:bidi="ar-SA"/>
        </w:rPr>
        <w:t>“</w:t>
      </w:r>
      <w:r>
        <w:rPr>
          <w:rFonts w:ascii="Times Roman" w:hAnsi="Times Roman"/>
          <w:rtl w:val="0"/>
          <w:lang w:val="en-US"/>
        </w:rPr>
        <w:t>key factors,</w:t>
      </w:r>
      <w:r>
        <w:rPr>
          <w:rFonts w:ascii="Times Roman" w:hAnsi="Times Roman" w:hint="default"/>
          <w:rtl w:val="0"/>
        </w:rPr>
        <w:t xml:space="preserve">” </w:t>
      </w:r>
      <w:r>
        <w:rPr>
          <w:rFonts w:ascii="Times Roman" w:hAnsi="Times Roman"/>
          <w:rtl w:val="0"/>
          <w:lang w:val="en-US"/>
        </w:rPr>
        <w:t>requires risk-based audits, and requires regulated users to review supplier documentation for commercial-off-the-shelf products to confirm that user requirements are met. If any vendor is perceived to have a limited regulated-industry track record, auditors tend to scrutinize your validation, supplier oversight, and change control more closely. Inductive Automation</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[32]</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Augment supplier oversight for regulated use cases</w:t>
      </w:r>
      <w:r>
        <w:rPr>
          <w:rFonts w:ascii="Times Roman" w:hAnsi="Times Roman"/>
          <w:rtl w:val="0"/>
          <w:lang w:val="en-US"/>
        </w:rPr>
        <w:t xml:space="preserve"> (Medium / Medium): Perform deeper supplier assessment and require evidence packages aligned to your intended use (security hardening guidance, patch strategy, support SLAs).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[33]</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Use documented security hardening baselines</w:t>
      </w:r>
      <w:r>
        <w:rPr>
          <w:rFonts w:ascii="Times Roman" w:hAnsi="Times Roman"/>
          <w:rtl w:val="0"/>
          <w:lang w:val="en-US"/>
        </w:rPr>
        <w:t xml:space="preserve"> (High / Medium): Enforce HTTPS/TLS on gateway communications and apply network/firewall hardening as part of baseline build.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[34]</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Evidence-driven pilots</w:t>
      </w:r>
      <w:r>
        <w:rPr>
          <w:rFonts w:ascii="Times Roman" w:hAnsi="Times Roman"/>
          <w:rtl w:val="0"/>
          <w:lang w:val="en-US"/>
        </w:rPr>
        <w:t xml:space="preserve"> (High / Medium): Run GxP-labeled pilot(s) with QA oversight and measure data integrity/completeness metrics before multi-site rollout.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[16]</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Supplier documentation review completed and mapped to URS; validation evidence shows controls for access, audit trails, backup/restore, and secure communication.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[35]</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Patch/update governance established (documented upgrade plan and checklist).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[36]</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You can offset </w:t>
      </w:r>
      <w:r>
        <w:rPr>
          <w:rFonts w:ascii="Times Roman" w:hAnsi="Times Roman" w:hint="default"/>
          <w:rtl w:val="1"/>
          <w:lang w:val="ar-SA" w:bidi="ar-SA"/>
        </w:rPr>
        <w:t>“</w:t>
      </w:r>
      <w:r>
        <w:rPr>
          <w:rFonts w:ascii="Times Roman" w:hAnsi="Times Roman"/>
          <w:rtl w:val="0"/>
          <w:lang w:val="en-US"/>
        </w:rPr>
        <w:t>limited pharma track record</w:t>
      </w:r>
      <w:r>
        <w:rPr>
          <w:rFonts w:ascii="Times Roman" w:hAnsi="Times Roman" w:hint="default"/>
          <w:rtl w:val="0"/>
        </w:rPr>
        <w:t xml:space="preserve">” </w:t>
      </w:r>
      <w:r>
        <w:rPr>
          <w:rFonts w:ascii="Times Roman" w:hAnsi="Times Roman"/>
          <w:rtl w:val="0"/>
          <w:lang w:val="en-US"/>
        </w:rPr>
        <w:t>with stronger governance and evidence, but that increases early program cost and schedule. There is no free version of trust</w:t>
      </w:r>
      <w:r>
        <w:rPr>
          <w:rFonts w:ascii="Times Roman" w:hAnsi="Times Roman" w:hint="default"/>
          <w:rtl w:val="0"/>
          <w:lang w:val="en-US"/>
        </w:rPr>
        <w:t>—</w:t>
      </w:r>
      <w:r>
        <w:rPr>
          <w:rFonts w:ascii="Times Roman" w:hAnsi="Times Roman"/>
          <w:rtl w:val="0"/>
          <w:lang w:val="en-US"/>
        </w:rPr>
        <w:t>either the vendor delivers it through reference deployments, or you build it through tighter controls and proof.</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Enterprise integration risks</w:t>
      </w: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E2E data flow for batch record completeness</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Batch records must include complete information on production/control activities (21 CFR 211.188), and failures in integrated computerized workflows can lead to omissions or timing gaps that impair review and release decisions.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"https://www.ecfr.gov/current/title-21/chapter-I/subchapter-C/part-211/subpart-J/section-211.188"</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w:t>
      </w:r>
      <w:r>
        <w:rPr>
          <w:rFonts w:ascii="Times Roman" w:cs="Times Roman" w:hAnsi="Times Roman" w:eastAsia="Times Roman"/>
          <w:rtl w:val="0"/>
        </w:rPr>
        <w:fldChar w:fldCharType="end" w:fldLock="0"/>
      </w:r>
      <w:r>
        <w:rPr>
          <w:rFonts w:ascii="Times Roman" w:hAnsi="Times Roman"/>
          <w:rtl w:val="0"/>
          <w:lang w:val="en-US"/>
        </w:rPr>
        <w:t xml:space="preserve"> If the plant bus becomes a key path for collecting batch-relevant events, it becomes a single logical dependency for record completeness</w:t>
      </w:r>
      <w:r>
        <w:rPr>
          <w:rFonts w:ascii="Times Roman" w:hAnsi="Times Roman" w:hint="default"/>
          <w:rtl w:val="0"/>
          <w:lang w:val="en-US"/>
        </w:rPr>
        <w:t>—</w:t>
      </w:r>
      <w:r>
        <w:rPr>
          <w:rFonts w:ascii="Times Roman" w:hAnsi="Times Roman"/>
          <w:rtl w:val="0"/>
          <w:lang w:val="en-US"/>
        </w:rPr>
        <w:t>a classic failure mode.</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it-IT"/>
        </w:rPr>
        <w:t xml:space="preserve">Define </w:t>
      </w:r>
      <w:r>
        <w:rPr>
          <w:rStyle w:val="None"/>
          <w:rFonts w:ascii="Times Roman" w:hAnsi="Times Roman" w:hint="default"/>
          <w:b w:val="1"/>
          <w:bCs w:val="1"/>
          <w:rtl w:val="1"/>
          <w:lang w:val="ar-SA" w:bidi="ar-SA"/>
        </w:rPr>
        <w:t>“</w:t>
      </w:r>
      <w:r>
        <w:rPr>
          <w:rStyle w:val="None"/>
          <w:rFonts w:ascii="Times Roman" w:hAnsi="Times Roman"/>
          <w:b w:val="1"/>
          <w:bCs w:val="1"/>
          <w:rtl w:val="0"/>
          <w:lang w:val="en-US"/>
        </w:rPr>
        <w:t>systems of record</w:t>
      </w:r>
      <w:r>
        <w:rPr>
          <w:rStyle w:val="None"/>
          <w:rFonts w:ascii="Times Roman" w:hAnsi="Times Roman" w:hint="default"/>
          <w:b w:val="1"/>
          <w:bCs w:val="1"/>
          <w:rtl w:val="0"/>
        </w:rPr>
        <w:t xml:space="preserve">” </w:t>
      </w:r>
      <w:r>
        <w:rPr>
          <w:rStyle w:val="None"/>
          <w:rFonts w:ascii="Times Roman" w:hAnsi="Times Roman"/>
          <w:b w:val="1"/>
          <w:bCs w:val="1"/>
          <w:rtl w:val="0"/>
          <w:lang w:val="en-US"/>
        </w:rPr>
        <w:t>and do not let the bus become the only record</w:t>
      </w:r>
      <w:r>
        <w:rPr>
          <w:rFonts w:ascii="Times Roman" w:hAnsi="Times Roman"/>
          <w:rtl w:val="0"/>
          <w:lang w:val="en-US"/>
        </w:rPr>
        <w:t xml:space="preserve"> (High / High): For GMP-critical steps, choose a primary record system (EBR/MES or validated historian) and treat bus messages as a distribution mechanism, not the authoritative record</w:t>
      </w:r>
      <w:r>
        <w:rPr>
          <w:rFonts w:ascii="Times Roman" w:hAnsi="Times Roman" w:hint="default"/>
          <w:rtl w:val="0"/>
          <w:lang w:val="en-US"/>
        </w:rPr>
        <w:t>—</w:t>
      </w:r>
      <w:r>
        <w:rPr>
          <w:rFonts w:ascii="Times Roman" w:hAnsi="Times Roman"/>
          <w:rtl w:val="0"/>
          <w:lang w:val="en-US"/>
        </w:rPr>
        <w:t xml:space="preserve">unless you are explicitly validating the bus as the record system.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"https://www.ecfr.gov/current/title-21/chapter-I/subchapter-C/part-211/subpart-J/section-211.188"</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[37]</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Event reconciliation and completeness checks</w:t>
      </w:r>
      <w:r>
        <w:rPr>
          <w:rFonts w:ascii="Times Roman" w:hAnsi="Times Roman"/>
          <w:rtl w:val="0"/>
          <w:lang w:val="en-US"/>
        </w:rPr>
        <w:t xml:space="preserve"> (High / Medium): Implement per-batch reconciliation jobs (expected events vs received events), with defined thresholds and QA review workflow for exceptions. FDA data integrity guidance stresses enabling the detection of omissions/errors across the data lifecycle.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"https://www.fda.gov/media/119267/download"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[38]</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Buffering and store-and-forward for delivery assurance</w:t>
      </w:r>
      <w:r>
        <w:rPr>
          <w:rFonts w:ascii="Times Roman" w:hAnsi="Times Roman"/>
          <w:rtl w:val="0"/>
          <w:lang w:val="en-US"/>
        </w:rPr>
        <w:t xml:space="preserve"> (High / Medium): Use store-and-forward on the modeling/pipeline layer to survive temporary enterprise outages with FIFO replay and timestamp preservation.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"https://support.highbyte.com/kb/how-to/connections/how-to-utilize-store-forward"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[30]</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Idempotent consumers and deterministic event IDs</w:t>
      </w:r>
      <w:r>
        <w:rPr>
          <w:rFonts w:ascii="Times Roman" w:hAnsi="Times Roman"/>
          <w:rtl w:val="0"/>
          <w:lang w:val="en-US"/>
        </w:rPr>
        <w:t xml:space="preserve"> (Medium / Medium): Ensure downstream systems can safely reprocess replayed events (duplicate-resistant design). This is essential when using buffering + failover.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"https://docs.hivemq.com/hivemq/latest/user-guide/cluster.html"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[39]</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Batch simulation tests: deliberate network outages and broker failovers while running a batch; prove no missing critical events after reconciliation.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"https://docs.hivemq.com/hivemq/latest/user-guide/backup-restore.html"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[40]</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Metrics: % of batches with reconciliation exceptions; mean time to clear exceptions; event latency; duplicate rate.</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Reconciliation adds engineering and QA overhead and may reveal upstream data quality issues you previously </w:t>
      </w:r>
      <w:r>
        <w:rPr>
          <w:rFonts w:ascii="Times Roman" w:hAnsi="Times Roman" w:hint="default"/>
          <w:rtl w:val="1"/>
          <w:lang w:val="ar-SA" w:bidi="ar-SA"/>
        </w:rPr>
        <w:t>“</w:t>
      </w:r>
      <w:r>
        <w:rPr>
          <w:rFonts w:ascii="Times Roman" w:hAnsi="Times Roman"/>
          <w:rtl w:val="0"/>
          <w:lang w:val="en-US"/>
        </w:rPr>
        <w:t>didn</w:t>
      </w:r>
      <w:r>
        <w:rPr>
          <w:rFonts w:ascii="Times Roman" w:hAnsi="Times Roman" w:hint="default"/>
          <w:rtl w:val="1"/>
        </w:rPr>
        <w:t>’</w:t>
      </w:r>
      <w:r>
        <w:rPr>
          <w:rFonts w:ascii="Times Roman" w:hAnsi="Times Roman"/>
          <w:rtl w:val="0"/>
          <w:lang w:val="en-US"/>
        </w:rPr>
        <w:t>t see.</w:t>
      </w:r>
      <w:r>
        <w:rPr>
          <w:rFonts w:ascii="Times Roman" w:hAnsi="Times Roman" w:hint="default"/>
          <w:rtl w:val="0"/>
        </w:rPr>
        <w:t xml:space="preserve">” </w:t>
      </w:r>
      <w:r>
        <w:rPr>
          <w:rFonts w:ascii="Times Roman" w:hAnsi="Times Roman"/>
          <w:rtl w:val="0"/>
          <w:lang w:val="en-US"/>
        </w:rPr>
        <w:t>The trade is earlier detection (good) versus additional operational workload (also real).</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IT/OT boundary understanding</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Boundary misunderstandings cause real failures: unclear ownership of data definitions, unclear responsibility for access control, and uncontrolled changes that break the validated state. Annex 11 requires close cooperation among process owners, system owners, and IT, and expects personnel responsibilities and access levels to be defined.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RACI + governance board with QA/CSV participation</w:t>
      </w:r>
      <w:r>
        <w:rPr>
          <w:rFonts w:ascii="Times Roman" w:hAnsi="Times Roman"/>
          <w:rtl w:val="0"/>
          <w:lang w:val="en-US"/>
        </w:rPr>
        <w:t xml:space="preserve"> (High / Low): Establish a standing </w:t>
      </w:r>
      <w:r>
        <w:rPr>
          <w:rFonts w:ascii="Times Roman" w:hAnsi="Times Roman" w:hint="default"/>
          <w:rtl w:val="1"/>
          <w:lang w:val="ar-SA" w:bidi="ar-SA"/>
        </w:rPr>
        <w:t>“</w:t>
      </w:r>
      <w:r>
        <w:rPr>
          <w:rFonts w:ascii="Times Roman" w:hAnsi="Times Roman"/>
          <w:rtl w:val="0"/>
          <w:lang w:val="en-US"/>
        </w:rPr>
        <w:t>OT</w:t>
      </w:r>
      <w:r>
        <w:rPr>
          <w:rFonts w:ascii="Times Roman" w:hAnsi="Times Roman" w:hint="default"/>
          <w:rtl w:val="0"/>
        </w:rPr>
        <w:t>–</w:t>
      </w:r>
      <w:r>
        <w:rPr>
          <w:rFonts w:ascii="Times Roman" w:hAnsi="Times Roman"/>
          <w:rtl w:val="0"/>
          <w:lang w:val="pt-PT"/>
        </w:rPr>
        <w:t>IT Data Governance</w:t>
      </w:r>
      <w:r>
        <w:rPr>
          <w:rFonts w:ascii="Times Roman" w:hAnsi="Times Roman" w:hint="default"/>
          <w:rtl w:val="0"/>
        </w:rPr>
        <w:t xml:space="preserve">” </w:t>
      </w:r>
      <w:r>
        <w:rPr>
          <w:rFonts w:ascii="Times Roman" w:hAnsi="Times Roman"/>
          <w:rtl w:val="0"/>
          <w:lang w:val="en-US"/>
        </w:rPr>
        <w:t xml:space="preserve">board that owns canonical models, topic namespace, and release/change approval.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[17]</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Interface control documents (ICDs)</w:t>
      </w:r>
      <w:r>
        <w:rPr>
          <w:rFonts w:ascii="Times Roman" w:hAnsi="Times Roman"/>
          <w:rtl w:val="0"/>
          <w:lang w:val="en-US"/>
        </w:rPr>
        <w:t xml:space="preserve"> (High / Medium): Define each interface (source</w:t>
      </w:r>
      <w:r>
        <w:rPr>
          <w:rFonts w:ascii="Arial Unicode MS" w:cs="Arial Unicode MS" w:hAnsi="Arial Unicode MS" w:eastAsia="Arial Unicode MS" w:hint="default"/>
          <w:b w:val="0"/>
          <w:bCs w:val="0"/>
          <w:i w:val="0"/>
          <w:iCs w:val="0"/>
          <w:rtl w:val="0"/>
        </w:rPr>
        <w:t>→</w:t>
      </w:r>
      <w:r>
        <w:rPr>
          <w:rFonts w:ascii="Times Roman" w:hAnsi="Times Roman"/>
          <w:rtl w:val="0"/>
          <w:lang w:val="en-US"/>
        </w:rPr>
        <w:t>middleware</w:t>
      </w:r>
      <w:r>
        <w:rPr>
          <w:rFonts w:ascii="Arial Unicode MS" w:cs="Arial Unicode MS" w:hAnsi="Arial Unicode MS" w:eastAsia="Arial Unicode MS" w:hint="default"/>
          <w:b w:val="0"/>
          <w:bCs w:val="0"/>
          <w:i w:val="0"/>
          <w:iCs w:val="0"/>
          <w:rtl w:val="0"/>
        </w:rPr>
        <w:t>→</w:t>
      </w:r>
      <w:r>
        <w:rPr>
          <w:rFonts w:ascii="Times Roman" w:hAnsi="Times Roman"/>
          <w:rtl w:val="0"/>
          <w:lang w:val="en-US"/>
        </w:rPr>
        <w:t xml:space="preserve">consumer) with owner, data contract, security requirements, test cases, and change control rules.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[16]</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Separate admin planes where possible</w:t>
      </w:r>
      <w:r>
        <w:rPr>
          <w:rFonts w:ascii="Times Roman" w:hAnsi="Times Roman"/>
          <w:rtl w:val="0"/>
          <w:lang w:val="en-US"/>
        </w:rPr>
        <w:t xml:space="preserve"> (Medium / Medium): Keep OT admin actions and enterprise admin actions from sharing credentials and tools across zones.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Governance artifacts exist: approved RACI, ICDs, topic namespace standards, and change control SOP.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[17]</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Metrics: unauthorized change rate; number of emergency changes; time to approve a change; audit findings.</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Strong governance slows </w:t>
      </w:r>
      <w:r>
        <w:rPr>
          <w:rFonts w:ascii="Times Roman" w:hAnsi="Times Roman" w:hint="default"/>
          <w:rtl w:val="1"/>
          <w:lang w:val="ar-SA" w:bidi="ar-SA"/>
        </w:rPr>
        <w:t>“</w:t>
      </w:r>
      <w:r>
        <w:rPr>
          <w:rFonts w:ascii="Times Roman" w:hAnsi="Times Roman"/>
          <w:rtl w:val="0"/>
          <w:lang w:val="en-US"/>
        </w:rPr>
        <w:t>cowboy integration</w:t>
      </w:r>
      <w:r>
        <w:rPr>
          <w:rFonts w:ascii="Times Roman" w:hAnsi="Times Roman" w:hint="default"/>
          <w:rtl w:val="0"/>
        </w:rPr>
        <w:t xml:space="preserve">” </w:t>
      </w:r>
      <w:r>
        <w:rPr>
          <w:rFonts w:ascii="Times Roman" w:hAnsi="Times Roman"/>
          <w:rtl w:val="0"/>
          <w:lang w:val="en-US"/>
        </w:rPr>
        <w:t>(good) but can slow initial delivery (trade-off). You</w:t>
      </w:r>
      <w:r>
        <w:rPr>
          <w:rFonts w:ascii="Times Roman" w:hAnsi="Times Roman" w:hint="default"/>
          <w:rtl w:val="1"/>
        </w:rPr>
        <w:t>’</w:t>
      </w:r>
      <w:r>
        <w:rPr>
          <w:rFonts w:ascii="Times Roman" w:hAnsi="Times Roman"/>
          <w:rtl w:val="0"/>
          <w:lang w:val="en-US"/>
        </w:rPr>
        <w:t>ll need explicit prioritization to avoid governance becoming a bottleneck.</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Multi-DCS integration complexity</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Multiple DCS environments often lead to heterogeneous tag models, naming, units, timebases, and protocol behaviors. This complexity increases the risk of semantic errors (wrong units, incorrect equipment mapping) that can become GMP-impacting if used for batch records or quality decisions. FDA stresses that data and metadata relationships must be preserved securely and traceably; heterogeneous sources make that harder.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"https://www.fda.gov/media/119267/download"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Canonical model + strict naming/units conventions</w:t>
      </w:r>
      <w:r>
        <w:rPr>
          <w:rFonts w:ascii="Times Roman" w:hAnsi="Times Roman"/>
          <w:rtl w:val="0"/>
          <w:lang w:val="en-US"/>
        </w:rPr>
        <w:t xml:space="preserve"> (High / Medium): Use a single enterprise canonical model for equipment, parameters, and units, and force each DCS to map into it (no </w:t>
      </w:r>
      <w:r>
        <w:rPr>
          <w:rFonts w:ascii="Times Roman" w:hAnsi="Times Roman" w:hint="default"/>
          <w:rtl w:val="1"/>
          <w:lang w:val="ar-SA" w:bidi="ar-SA"/>
        </w:rPr>
        <w:t>“</w:t>
      </w:r>
      <w:r>
        <w:rPr>
          <w:rFonts w:ascii="Times Roman" w:hAnsi="Times Roman"/>
          <w:rtl w:val="0"/>
        </w:rPr>
        <w:t>raw tag sprawl</w:t>
      </w:r>
      <w:r>
        <w:rPr>
          <w:rFonts w:ascii="Times Roman" w:hAnsi="Times Roman" w:hint="default"/>
          <w:rtl w:val="0"/>
        </w:rPr>
        <w:t xml:space="preserve">” </w:t>
      </w:r>
      <w:r>
        <w:rPr>
          <w:rFonts w:ascii="Times Roman" w:hAnsi="Times Roman"/>
          <w:rtl w:val="0"/>
          <w:lang w:val="en-US"/>
        </w:rPr>
        <w:t xml:space="preserve">to the enterprise).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"https://guide.highbyte.com/configuration/model/"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Contract tests per DCS + per connector</w:t>
      </w:r>
      <w:r>
        <w:rPr>
          <w:rFonts w:ascii="Times Roman" w:hAnsi="Times Roman"/>
          <w:rtl w:val="0"/>
          <w:lang w:val="en-US"/>
        </w:rPr>
        <w:t xml:space="preserve"> (High / High): Build automated tests that validate mapping rules (units, ranges, timestamps, equipment IDs) and run them on every change.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[17]</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Phased integration (one DCS family at a time)</w:t>
      </w:r>
      <w:r>
        <w:rPr>
          <w:rFonts w:ascii="Times Roman" w:hAnsi="Times Roman"/>
          <w:rtl w:val="0"/>
          <w:lang w:val="en-US"/>
        </w:rPr>
        <w:t xml:space="preserve"> (Medium / Medium): Sequence by similarity and criticality; avoid </w:t>
      </w:r>
      <w:r>
        <w:rPr>
          <w:rFonts w:ascii="Times Roman" w:hAnsi="Times Roman" w:hint="default"/>
          <w:rtl w:val="1"/>
          <w:lang w:val="ar-SA" w:bidi="ar-SA"/>
        </w:rPr>
        <w:t>“</w:t>
      </w:r>
      <w:r>
        <w:rPr>
          <w:rFonts w:ascii="Times Roman" w:hAnsi="Times Roman"/>
          <w:rtl w:val="0"/>
          <w:lang w:val="en-US"/>
        </w:rPr>
        <w:t>big bang multi-DCS go-live.</w:t>
      </w:r>
      <w:r>
        <w:rPr>
          <w:rFonts w:ascii="Times Roman" w:hAnsi="Times Roman" w:hint="default"/>
          <w:rtl w:val="0"/>
        </w:rPr>
        <w:t>”</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Operational monitoring of model drift</w:t>
      </w:r>
      <w:r>
        <w:rPr>
          <w:rFonts w:ascii="Times Roman" w:hAnsi="Times Roman"/>
          <w:rtl w:val="0"/>
          <w:lang w:val="en-US"/>
        </w:rPr>
        <w:t xml:space="preserve"> (Medium / Medium): Detect when source tags change, disappear, or shift meaning (schema drift alarms).</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Mapping test coverage (% of critical parameters with automated contract tests).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Defect trend by DCS (integration bugs per sprint / per release).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Metrics: % payloads conforming to schema; log counts for missing fields; number of </w:t>
      </w:r>
      <w:r>
        <w:rPr>
          <w:rFonts w:ascii="Times Roman" w:hAnsi="Times Roman" w:hint="default"/>
          <w:rtl w:val="1"/>
          <w:lang w:val="ar-SA" w:bidi="ar-SA"/>
        </w:rPr>
        <w:t>“</w:t>
      </w:r>
      <w:r>
        <w:rPr>
          <w:rFonts w:ascii="Times Roman" w:hAnsi="Times Roman"/>
          <w:rtl w:val="0"/>
          <w:lang w:val="en-US"/>
        </w:rPr>
        <w:t>unknown equipment ID</w:t>
      </w:r>
      <w:r>
        <w:rPr>
          <w:rFonts w:ascii="Times Roman" w:hAnsi="Times Roman" w:hint="default"/>
          <w:rtl w:val="0"/>
        </w:rPr>
        <w:t xml:space="preserve">” </w:t>
      </w:r>
      <w:r>
        <w:rPr>
          <w:rFonts w:ascii="Times Roman" w:hAnsi="Times Roman"/>
          <w:rtl w:val="0"/>
        </w:rPr>
        <w:t xml:space="preserve">events.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"https://guide.highbyte.com/troubleshooting/status_and_metrics/"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[43]</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Contract testing and canonical modeling add up-front cost but prevent high-cost latent failures. Some DCS vendors/legacy systems may resist clean OPC UA/security patterns, increasing residual integration complexity.</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GMP readiness and compliance risks</w:t>
      </w: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Data integrity / ALCOA requirements</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FDA defines data integrity as completeness, consistency, and accuracy, and states that complete/consistent/accurate data should be attributable, legible, contemporaneously recorded, original/true copy, and accurate (ALCOA). It also defines audit trails as secure, computer-generated, time-stamped records that enable the reconstruction of events.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"https://www.fda.gov/media/119267/download"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[13]</w:t>
      </w:r>
      <w:r>
        <w:rPr>
          <w:rFonts w:ascii="Times Roman" w:cs="Times Roman" w:hAnsi="Times Roman" w:eastAsia="Times Roman"/>
          <w:rtl w:val="0"/>
        </w:rPr>
        <w:fldChar w:fldCharType="end" w:fldLock="0"/>
      </w:r>
      <w:r>
        <w:rPr>
          <w:rFonts w:ascii="Times Roman" w:hAnsi="Times Roman"/>
          <w:rtl w:val="0"/>
          <w:lang w:val="en-US"/>
        </w:rPr>
        <w:t xml:space="preserve"> If the plant bus manipulates, transmits, or stores GMP-relevant data, any weakness in audit trail coverage, identity attribution, time sync, or record protection is a legitimate compliance risk.</w:t>
      </w: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Mitigations (actionable):</w:t>
      </w:r>
      <w:r>
        <w:rPr>
          <w:rStyle w:val="None"/>
          <w:rFonts w:ascii="Times Roman" w:hAnsi="Times Roman"/>
          <w:b w:val="0"/>
          <w:bCs w:val="0"/>
          <w:rtl w:val="0"/>
          <w:lang w:val="ru-RU"/>
        </w:rPr>
        <w:t xml:space="preserve"> - </w:t>
      </w:r>
      <w:r>
        <w:rPr>
          <w:rFonts w:ascii="Times Roman" w:hAnsi="Times Roman"/>
          <w:b w:val="1"/>
          <w:bCs w:val="1"/>
          <w:rtl w:val="0"/>
          <w:lang w:val="en-US"/>
        </w:rPr>
        <w:t>End-to-end audit trail strategy</w:t>
      </w:r>
      <w:r>
        <w:rPr>
          <w:rStyle w:val="None"/>
          <w:rFonts w:ascii="Times Roman" w:hAnsi="Times Roman"/>
          <w:b w:val="0"/>
          <w:bCs w:val="0"/>
          <w:rtl w:val="0"/>
          <w:lang w:val="en-US"/>
        </w:rPr>
        <w:t xml:space="preserve"> (High / High):</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For configuration changes: enable audit logging for middleware configuration changes and ensure logs are retained and reviewable. HighByte supports audit event logging for configuration changes when enabled.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"https://guide.highbyte.com/setup/application_settings/"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[44]</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For gateway actions: configure Ignition audit logging profiles and ensure key actions are logged (who/what/when).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"https://www.docs.inductiveautomation.com/docs/8.1/platform/audit-log-and-profiles"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[45]</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For broker actions: retain broker logs and control center actions; ship to SIEM.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"https://docs.hivemq.com/hivemq/latest/user-guide/logging.html"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[46]</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Part 11-aligned controls where records/signatures apply</w:t>
      </w:r>
      <w:r>
        <w:rPr>
          <w:rFonts w:ascii="Times Roman" w:hAnsi="Times Roman"/>
          <w:rtl w:val="0"/>
          <w:lang w:val="en-US"/>
        </w:rPr>
        <w:t xml:space="preserve"> (High / High): Implement access limitation, validation evidence, and secure audit trails per 21 CFR 11.10 (including audit trails that do not obscure previous information and are retained for at least as long as the record).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Time synchronization across OT/DMZ/IT</w:t>
      </w:r>
      <w:r>
        <w:rPr>
          <w:rFonts w:ascii="Times Roman" w:hAnsi="Times Roman"/>
          <w:rtl w:val="0"/>
          <w:lang w:val="en-US"/>
        </w:rPr>
        <w:t xml:space="preserve"> (High / Medium): Standardize time sources and monitor drift so audit trails and event ordering remain defensible.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Protect metadata and context</w:t>
      </w:r>
      <w:r>
        <w:rPr>
          <w:rFonts w:ascii="Times Roman" w:hAnsi="Times Roman"/>
          <w:rtl w:val="0"/>
          <w:lang w:val="en-US"/>
        </w:rPr>
        <w:t xml:space="preserve"> (High / Medium): Ensure the plant bus preserves key metadata needed to reconstruct events (equipment identity, batch ID, timestamps, quality flags). FDA emphasizes securely and traceably preserving relationships between data and metadata.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"https://www.fda.gov/media/119267/download"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[38]</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Quarterly audit trail sampling: trace a change from </w:t>
      </w:r>
      <w:r>
        <w:rPr>
          <w:rFonts w:ascii="Times Roman" w:hAnsi="Times Roman" w:hint="default"/>
          <w:rtl w:val="1"/>
          <w:lang w:val="ar-SA" w:bidi="ar-SA"/>
        </w:rPr>
        <w:t>“</w:t>
      </w:r>
      <w:r>
        <w:rPr>
          <w:rFonts w:ascii="Times Roman" w:hAnsi="Times Roman"/>
          <w:rtl w:val="0"/>
          <w:lang w:val="en-US"/>
        </w:rPr>
        <w:t xml:space="preserve">request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approval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deployment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runtime behavior</w:t>
      </w:r>
      <w:r>
        <w:rPr>
          <w:rFonts w:ascii="Times Roman" w:hAnsi="Times Roman" w:hint="default"/>
          <w:rtl w:val="0"/>
        </w:rPr>
        <w:t xml:space="preserve">” </w:t>
      </w:r>
      <w:r>
        <w:rPr>
          <w:rFonts w:ascii="Times Roman" w:hAnsi="Times Roman"/>
          <w:rtl w:val="0"/>
          <w:lang w:val="en-US"/>
        </w:rPr>
        <w:t xml:space="preserve">using audit logs from each layer.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[47]</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Metrics: audit log completeness (% of changes logged), time drift threshold breaches, number of privileged access events, and log ingestion success rate.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"https://docs.hivemq.com/hivemq/latest/user-guide/monitoring.html"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Strong audit trails increase storage and monitoring load, and increase privacy exposure if logs contain sensitive context. Also, MQTT topic names can leak context if not carefully designed (see HiveMQ note below on topic visibility).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"https://docs.hivemq.com/hivemq/latest/user-guide/security.html"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[48]</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Batch record completeness dependency</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21 CFR 211.188 requires batch records to contain complete information, and the FDA</w:t>
      </w:r>
      <w:r>
        <w:rPr>
          <w:rFonts w:ascii="Times Roman" w:hAnsi="Times Roman" w:hint="default"/>
          <w:rtl w:val="1"/>
        </w:rPr>
        <w:t>’</w:t>
      </w:r>
      <w:r>
        <w:rPr>
          <w:rFonts w:ascii="Times Roman" w:hAnsi="Times Roman"/>
          <w:rtl w:val="0"/>
          <w:lang w:val="en-US"/>
        </w:rPr>
        <w:t xml:space="preserve">s data integrity guidance emphasizes that even legitimately invalidated results must remain part of the complete CGMP record, with justification.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"https://www.ecfr.gov/current/title-21/chapter-I/subchapter-C/part-211/subpart-J/section-211.188"</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w:t>
      </w:r>
      <w:r>
        <w:rPr>
          <w:rFonts w:ascii="Times Roman" w:cs="Times Roman" w:hAnsi="Times Roman" w:eastAsia="Times Roman"/>
          <w:rtl w:val="0"/>
        </w:rPr>
        <w:fldChar w:fldCharType="end" w:fldLock="0"/>
      </w:r>
      <w:r>
        <w:rPr>
          <w:rFonts w:ascii="Times Roman" w:hAnsi="Times Roman"/>
          <w:rtl w:val="0"/>
          <w:lang w:val="en-US"/>
        </w:rPr>
        <w:t xml:space="preserve"> If batch records depend on plant bus availability, you risk missing data, delayed review, or </w:t>
      </w:r>
      <w:r>
        <w:rPr>
          <w:rFonts w:ascii="Times Roman" w:hAnsi="Times Roman" w:hint="default"/>
          <w:rtl w:val="1"/>
          <w:lang w:val="ar-SA" w:bidi="ar-SA"/>
        </w:rPr>
        <w:t>“</w:t>
      </w:r>
      <w:r>
        <w:rPr>
          <w:rFonts w:ascii="Times Roman" w:hAnsi="Times Roman"/>
          <w:rtl w:val="0"/>
        </w:rPr>
        <w:t>silent</w:t>
      </w:r>
      <w:r>
        <w:rPr>
          <w:rFonts w:ascii="Times Roman" w:hAnsi="Times Roman" w:hint="default"/>
          <w:rtl w:val="0"/>
        </w:rPr>
        <w:t xml:space="preserve">” </w:t>
      </w:r>
      <w:r>
        <w:rPr>
          <w:rFonts w:ascii="Times Roman" w:hAnsi="Times Roman"/>
          <w:rtl w:val="0"/>
          <w:lang w:val="pt-PT"/>
        </w:rPr>
        <w:t>gaps.</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 xml:space="preserve">Explicitly separate </w:t>
      </w:r>
      <w:r>
        <w:rPr>
          <w:rStyle w:val="None"/>
          <w:rFonts w:ascii="Times Roman" w:hAnsi="Times Roman" w:hint="default"/>
          <w:b w:val="1"/>
          <w:bCs w:val="1"/>
          <w:rtl w:val="1"/>
          <w:lang w:val="ar-SA" w:bidi="ar-SA"/>
        </w:rPr>
        <w:t>“</w:t>
      </w:r>
      <w:r>
        <w:rPr>
          <w:rStyle w:val="None"/>
          <w:rFonts w:ascii="Times Roman" w:hAnsi="Times Roman"/>
          <w:b w:val="1"/>
          <w:bCs w:val="1"/>
          <w:rtl w:val="0"/>
          <w:lang w:val="en-US"/>
        </w:rPr>
        <w:t>EBR evidence capture</w:t>
      </w:r>
      <w:r>
        <w:rPr>
          <w:rStyle w:val="None"/>
          <w:rFonts w:ascii="Times Roman" w:hAnsi="Times Roman" w:hint="default"/>
          <w:b w:val="1"/>
          <w:bCs w:val="1"/>
          <w:rtl w:val="0"/>
        </w:rPr>
        <w:t xml:space="preserve">” </w:t>
      </w:r>
      <w:r>
        <w:rPr>
          <w:rStyle w:val="None"/>
          <w:rFonts w:ascii="Times Roman" w:hAnsi="Times Roman"/>
          <w:b w:val="1"/>
          <w:bCs w:val="1"/>
          <w:rtl w:val="0"/>
          <w:lang w:val="en-US"/>
        </w:rPr>
        <w:t xml:space="preserve">from </w:t>
      </w:r>
      <w:r>
        <w:rPr>
          <w:rStyle w:val="None"/>
          <w:rFonts w:ascii="Times Roman" w:hAnsi="Times Roman" w:hint="default"/>
          <w:b w:val="1"/>
          <w:bCs w:val="1"/>
          <w:rtl w:val="1"/>
          <w:lang w:val="ar-SA" w:bidi="ar-SA"/>
        </w:rPr>
        <w:t>“</w:t>
      </w:r>
      <w:r>
        <w:rPr>
          <w:rStyle w:val="None"/>
          <w:rFonts w:ascii="Times Roman" w:hAnsi="Times Roman"/>
          <w:b w:val="1"/>
          <w:bCs w:val="1"/>
          <w:rtl w:val="0"/>
          <w:lang w:val="it-IT"/>
        </w:rPr>
        <w:t>data dissemination</w:t>
      </w:r>
      <w:r>
        <w:rPr>
          <w:rStyle w:val="None"/>
          <w:rFonts w:ascii="Times Roman" w:hAnsi="Times Roman" w:hint="default"/>
          <w:b w:val="1"/>
          <w:bCs w:val="1"/>
          <w:rtl w:val="0"/>
        </w:rPr>
        <w:t>”</w:t>
      </w:r>
      <w:r>
        <w:rPr>
          <w:rFonts w:ascii="Times Roman" w:hAnsi="Times Roman"/>
          <w:rtl w:val="0"/>
          <w:lang w:val="en-US"/>
        </w:rPr>
        <w:t xml:space="preserve"> (High / High): Keep a validated, transactional capture path for EBR-critical events. Use the bus for distribution/analytics unless you are validating it as the record system.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[49]</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Fallback procedures and documented manual contingencies</w:t>
      </w:r>
      <w:r>
        <w:rPr>
          <w:rFonts w:ascii="Times Roman" w:hAnsi="Times Roman"/>
          <w:rtl w:val="0"/>
          <w:lang w:val="en-US"/>
        </w:rPr>
        <w:t xml:space="preserve"> (High / Medium): Define what operators do when integrations fail (manual contemporaneous entries, deviation triggers) and ensure those procedures are trained.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"https://www.fda.gov/media/119267/download"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[50]</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Automated completeness checks</w:t>
      </w:r>
      <w:r>
        <w:rPr>
          <w:rFonts w:ascii="Times Roman" w:hAnsi="Times Roman"/>
          <w:rtl w:val="0"/>
          <w:lang w:val="en-US"/>
        </w:rPr>
        <w:t xml:space="preserve"> (High / Medium): Reconciliation and alerting per batch/phase.</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ru-RU"/>
        </w:rPr>
        <w:t xml:space="preserve"> - </w:t>
      </w:r>
      <w:r>
        <w:rPr>
          <w:rFonts w:ascii="Times Roman" w:hAnsi="Times Roman" w:hint="default"/>
          <w:rtl w:val="1"/>
          <w:lang w:val="ar-SA" w:bidi="ar-SA"/>
        </w:rPr>
        <w:t>“</w:t>
      </w:r>
      <w:r>
        <w:rPr>
          <w:rFonts w:ascii="Times Roman" w:hAnsi="Times Roman"/>
          <w:rtl w:val="0"/>
        </w:rPr>
        <w:t>Brownout</w:t>
      </w:r>
      <w:r>
        <w:rPr>
          <w:rFonts w:ascii="Times Roman" w:hAnsi="Times Roman" w:hint="default"/>
          <w:rtl w:val="0"/>
        </w:rPr>
        <w:t xml:space="preserve">” </w:t>
      </w:r>
      <w:r>
        <w:rPr>
          <w:rFonts w:ascii="Times Roman" w:hAnsi="Times Roman"/>
          <w:rtl w:val="0"/>
          <w:lang w:val="en-US"/>
        </w:rPr>
        <w:t>tests during a simulated batch: intentionally degrade plant bus throughput and prove that batch record evidence is still captured and defensible.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Metrics: batch exceptions due to missing data; time to detect missing data; time to resolve.</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Keeping parallel capture paths increases cost and can create conflicting data sources; the trade-off is avoiding a single point of failure for GMP evidence.</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CSA validation of the new platform</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For GMP computerized systems, validation and risk-based assurance are not optional</w:t>
      </w:r>
      <w:r>
        <w:rPr>
          <w:rFonts w:ascii="Times Roman" w:hAnsi="Times Roman" w:hint="default"/>
          <w:rtl w:val="0"/>
          <w:lang w:val="en-US"/>
        </w:rPr>
        <w:t>—</w:t>
      </w:r>
      <w:r>
        <w:rPr>
          <w:rFonts w:ascii="Times Roman" w:hAnsi="Times Roman"/>
          <w:rtl w:val="0"/>
          <w:lang w:val="en-US"/>
        </w:rPr>
        <w:t xml:space="preserve">EU Annex 11 requires application validation and qualified infrastructure and explicitly ties validation/data integrity controls to documented risk assessment.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r>
        <w:rPr>
          <w:rFonts w:ascii="Times Roman" w:hAnsi="Times Roman"/>
          <w:rtl w:val="0"/>
          <w:lang w:val="en-US"/>
        </w:rPr>
        <w:t xml:space="preserve"> In the US, Part 11 controls for closed systems include validation to ensure accuracy and reliability, the ability to detect invalid/altered records, and secure audit trails and access limitations.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Separately, the FDA has published Computer Software Assurance guidance (in the medical device production/QMS context) that emphasizes a risk-based approach to establish confidence that software is fit for its intended use. Even if your primary regulatory scope is drug GMP, the </w:t>
      </w:r>
      <w:r>
        <w:rPr>
          <w:rFonts w:ascii="Times Roman" w:hAnsi="Times Roman" w:hint="default"/>
          <w:rtl w:val="1"/>
          <w:lang w:val="ar-SA" w:bidi="ar-SA"/>
        </w:rPr>
        <w:t>“</w:t>
      </w:r>
      <w:r>
        <w:rPr>
          <w:rFonts w:ascii="Times Roman" w:hAnsi="Times Roman"/>
          <w:rtl w:val="0"/>
          <w:lang w:val="en-US"/>
        </w:rPr>
        <w:t>risk-based assurance</w:t>
      </w:r>
      <w:r>
        <w:rPr>
          <w:rFonts w:ascii="Times Roman" w:hAnsi="Times Roman" w:hint="default"/>
          <w:rtl w:val="0"/>
        </w:rPr>
        <w:t xml:space="preserve">” </w:t>
      </w:r>
      <w:r>
        <w:rPr>
          <w:rFonts w:ascii="Times Roman" w:hAnsi="Times Roman"/>
          <w:rtl w:val="0"/>
          <w:lang w:val="en-US"/>
        </w:rPr>
        <w:t>principle is aligned with Annex 11</w:t>
      </w:r>
      <w:r>
        <w:rPr>
          <w:rFonts w:ascii="Times Roman" w:hAnsi="Times Roman" w:hint="default"/>
          <w:rtl w:val="1"/>
        </w:rPr>
        <w:t>’</w:t>
      </w:r>
      <w:r>
        <w:rPr>
          <w:rFonts w:ascii="Times Roman" w:hAnsi="Times Roman"/>
          <w:rtl w:val="0"/>
          <w:lang w:val="en-US"/>
        </w:rPr>
        <w:t xml:space="preserve">s risk management approach.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"https://www.fda.gov/regulatory-information/search-fda-guidance-documents/computer-software-assurance-production-and-quality-management-system-software"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Risk-based validation/assurance plan</w:t>
      </w:r>
      <w:r>
        <w:rPr>
          <w:rFonts w:ascii="Times Roman" w:hAnsi="Times Roman"/>
          <w:rtl w:val="0"/>
          <w:lang w:val="en-US"/>
        </w:rPr>
        <w:t xml:space="preserve"> (High/High): Create a plan that ties each feature used in GMP workflows to risk and test rigor (critical workflows receive higher assurance). Annex 11 requires this to be justified and documented.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 xml:space="preserve">Traceability from URS </w:t>
      </w:r>
      <w:r>
        <w:rPr>
          <w:rStyle w:val="None"/>
          <w:rFonts w:ascii="Arial Unicode MS" w:cs="Arial Unicode MS" w:hAnsi="Arial Unicode MS" w:eastAsia="Arial Unicode MS" w:hint="default"/>
          <w:b w:val="0"/>
          <w:bCs w:val="0"/>
          <w:i w:val="0"/>
          <w:iCs w:val="0"/>
          <w:rtl w:val="0"/>
        </w:rPr>
        <w:t>→</w:t>
      </w:r>
      <w:r>
        <w:rPr>
          <w:rStyle w:val="None"/>
          <w:rFonts w:ascii="Times Roman" w:hAnsi="Times Roman"/>
          <w:b w:val="1"/>
          <w:bCs w:val="1"/>
          <w:rtl w:val="0"/>
        </w:rPr>
        <w:t xml:space="preserve"> </w:t>
      </w:r>
      <w:r>
        <w:rPr>
          <w:rStyle w:val="None"/>
          <w:rFonts w:ascii="Times Roman" w:hAnsi="Times Roman"/>
          <w:b w:val="1"/>
          <w:bCs w:val="1"/>
          <w:rtl w:val="0"/>
          <w:lang w:val="fr-FR"/>
        </w:rPr>
        <w:t xml:space="preserve">configuration </w:t>
      </w:r>
      <w:r>
        <w:rPr>
          <w:rStyle w:val="None"/>
          <w:rFonts w:ascii="Arial Unicode MS" w:cs="Arial Unicode MS" w:hAnsi="Arial Unicode MS" w:eastAsia="Arial Unicode MS" w:hint="default"/>
          <w:b w:val="0"/>
          <w:bCs w:val="0"/>
          <w:i w:val="0"/>
          <w:iCs w:val="0"/>
          <w:rtl w:val="0"/>
        </w:rPr>
        <w:t>→</w:t>
      </w:r>
      <w:r>
        <w:rPr>
          <w:rStyle w:val="None"/>
          <w:rFonts w:ascii="Times Roman" w:hAnsi="Times Roman"/>
          <w:b w:val="1"/>
          <w:bCs w:val="1"/>
          <w:rtl w:val="0"/>
        </w:rPr>
        <w:t xml:space="preserve"> </w:t>
      </w:r>
      <w:r>
        <w:rPr>
          <w:rStyle w:val="None"/>
          <w:rFonts w:ascii="Times Roman" w:hAnsi="Times Roman"/>
          <w:b w:val="1"/>
          <w:bCs w:val="1"/>
          <w:rtl w:val="0"/>
          <w:lang w:val="en-US"/>
        </w:rPr>
        <w:t xml:space="preserve">tests </w:t>
      </w:r>
      <w:r>
        <w:rPr>
          <w:rStyle w:val="None"/>
          <w:rFonts w:ascii="Arial Unicode MS" w:cs="Arial Unicode MS" w:hAnsi="Arial Unicode MS" w:eastAsia="Arial Unicode MS" w:hint="default"/>
          <w:b w:val="0"/>
          <w:bCs w:val="0"/>
          <w:i w:val="0"/>
          <w:iCs w:val="0"/>
          <w:rtl w:val="0"/>
        </w:rPr>
        <w:t>→</w:t>
      </w:r>
      <w:r>
        <w:rPr>
          <w:rStyle w:val="None"/>
          <w:rFonts w:ascii="Times Roman" w:hAnsi="Times Roman"/>
          <w:b w:val="1"/>
          <w:bCs w:val="1"/>
          <w:rtl w:val="0"/>
        </w:rPr>
        <w:t xml:space="preserve"> </w:t>
      </w:r>
      <w:r>
        <w:rPr>
          <w:rStyle w:val="None"/>
          <w:rFonts w:ascii="Times Roman" w:hAnsi="Times Roman"/>
          <w:b w:val="1"/>
          <w:bCs w:val="1"/>
          <w:rtl w:val="0"/>
          <w:lang w:val="en-US"/>
        </w:rPr>
        <w:t>release</w:t>
      </w:r>
      <w:r>
        <w:rPr>
          <w:rFonts w:ascii="Times Roman" w:hAnsi="Times Roman"/>
          <w:rtl w:val="0"/>
          <w:lang w:val="en-US"/>
        </w:rPr>
        <w:t xml:space="preserve"> (High / High): Ensure you can show inspectors a defensible traceability chain.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Change impact assessment + regression automation</w:t>
      </w:r>
      <w:r>
        <w:rPr>
          <w:rFonts w:ascii="Times Roman" w:hAnsi="Times Roman"/>
          <w:rtl w:val="0"/>
          <w:lang w:val="en-US"/>
        </w:rPr>
        <w:t xml:space="preserve"> (High / High): Build automated regression suites for critical dataflows; require impact assessment for any connector/model/topic namespace change.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Periodic review</w:t>
      </w:r>
      <w:r>
        <w:rPr>
          <w:rFonts w:ascii="Times Roman" w:hAnsi="Times Roman"/>
          <w:rtl w:val="0"/>
          <w:lang w:val="en-US"/>
        </w:rPr>
        <w:t xml:space="preserve"> (Medium / Medium): Plan scheduled reviews (security posture, account recertification, patch status, audit trail sampling, data integrity metrics).</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Validation evidence completeness score (e.g., % URS requirements with passing tests and documented deviations).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Audit outcomes: zero major findings on access control, audit trails, and record protection.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[53]</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Release metrics: regression suite pass rate; post-release incident rate.</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Strong validation increases delivery time and requires disciplined configuration management. The trade is inspection readiness and fewer latent failures reaching GMP operations.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Cybersecurity and OT/IT network risks</w:t>
      </w: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Crosses DMZ between OT and IT</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Crossing a DMZ means the plant bus becomes part of the </w:t>
      </w:r>
      <w:r>
        <w:rPr>
          <w:rFonts w:ascii="Times Roman" w:hAnsi="Times Roman" w:hint="default"/>
          <w:rtl w:val="1"/>
          <w:lang w:val="ar-SA" w:bidi="ar-SA"/>
        </w:rPr>
        <w:t>“</w:t>
      </w:r>
      <w:r>
        <w:rPr>
          <w:rFonts w:ascii="Times Roman" w:hAnsi="Times Roman"/>
          <w:rtl w:val="0"/>
          <w:lang w:val="en-US"/>
        </w:rPr>
        <w:t>controlled conduit</w:t>
      </w:r>
      <w:r>
        <w:rPr>
          <w:rFonts w:ascii="Times Roman" w:hAnsi="Times Roman" w:hint="default"/>
          <w:rtl w:val="0"/>
        </w:rPr>
        <w:t xml:space="preserve">” </w:t>
      </w:r>
      <w:r>
        <w:rPr>
          <w:rFonts w:ascii="Times Roman" w:hAnsi="Times Roman"/>
          <w:rtl w:val="0"/>
          <w:lang w:val="en-US"/>
        </w:rPr>
        <w:t>between trust zones</w:t>
      </w:r>
      <w:r>
        <w:rPr>
          <w:rFonts w:ascii="Times Roman" w:hAnsi="Times Roman" w:hint="default"/>
          <w:rtl w:val="0"/>
          <w:lang w:val="en-US"/>
        </w:rPr>
        <w:t>—</w:t>
      </w:r>
      <w:r>
        <w:rPr>
          <w:rFonts w:ascii="Times Roman" w:hAnsi="Times Roman"/>
          <w:rtl w:val="0"/>
          <w:lang w:val="en-US"/>
        </w:rPr>
        <w:t xml:space="preserve">exactly where attackers try to gain leverage. NIST explicitly recommends implementing a DMZ between enterprise and OT environments and monitoring/protecting DMZ services because compromises there can enable attackers to pivot into OT without detection.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Put only necessary services in the DMZ; harden them heavily</w:t>
      </w:r>
      <w:r>
        <w:rPr>
          <w:rFonts w:ascii="Times Roman" w:hAnsi="Times Roman"/>
          <w:rtl w:val="0"/>
          <w:lang w:val="en-US"/>
        </w:rPr>
        <w:t xml:space="preserve"> (High / Medium): Reduce DMZ service footprint (no extra admin tools, no dev tooling).</w:t>
      </w: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Style w:val="None"/>
          <w:rFonts w:ascii="Times Roman" w:hAnsi="Times Roman"/>
          <w:b w:val="0"/>
          <w:bCs w:val="0"/>
          <w:rtl w:val="0"/>
          <w:lang w:val="ru-RU"/>
        </w:rPr>
        <w:t xml:space="preserve">- </w:t>
      </w:r>
      <w:r>
        <w:rPr>
          <w:rFonts w:ascii="Times Roman" w:hAnsi="Times Roman"/>
          <w:b w:val="1"/>
          <w:bCs w:val="1"/>
          <w:rtl w:val="0"/>
          <w:lang w:val="en-US"/>
        </w:rPr>
        <w:t>Enforce TLS everywhere across the DMZ conduit</w:t>
      </w:r>
      <w:r>
        <w:rPr>
          <w:rStyle w:val="None"/>
          <w:rFonts w:ascii="Times Roman" w:hAnsi="Times Roman"/>
          <w:b w:val="0"/>
          <w:bCs w:val="0"/>
          <w:rtl w:val="0"/>
          <w:lang w:val="en-US"/>
        </w:rPr>
        <w:t xml:space="preserve"> (High / Medium):</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Ignition: enforce HTTPS/TLS for gateway traffic; Inductive Automation describes this as the </w:t>
      </w:r>
      <w:r>
        <w:rPr>
          <w:rFonts w:ascii="Times Roman" w:hAnsi="Times Roman" w:hint="default"/>
          <w:rtl w:val="1"/>
          <w:lang w:val="ar-SA" w:bidi="ar-SA"/>
        </w:rPr>
        <w:t>“</w:t>
      </w:r>
      <w:r>
        <w:rPr>
          <w:rFonts w:ascii="Times Roman" w:hAnsi="Times Roman"/>
          <w:rtl w:val="0"/>
          <w:lang w:val="en-US"/>
        </w:rPr>
        <w:t>first and most important step.</w:t>
      </w:r>
      <w:r>
        <w:rPr>
          <w:rFonts w:ascii="Times Roman" w:hAnsi="Times Roman" w:hint="default"/>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[54]</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HiveMQ: configure TLS listeners and restrict protocols/ciphers; HiveMQ documents TLS listener configuration and explicit TLS version controls.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"https://docs.hivemq.com/hivemq/latest/user-guide/listeners.html"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[55]</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Strict port minimization and allow-list rules</w:t>
      </w:r>
      <w:r>
        <w:rPr>
          <w:rFonts w:ascii="Times Roman" w:hAnsi="Times Roman"/>
          <w:rtl w:val="0"/>
          <w:lang w:val="en-US"/>
        </w:rPr>
        <w:t xml:space="preserve"> (High / Medium): Inductive Automation</w:t>
      </w:r>
      <w:r>
        <w:rPr>
          <w:rFonts w:ascii="Times Roman" w:hAnsi="Times Roman" w:hint="default"/>
          <w:rtl w:val="1"/>
        </w:rPr>
        <w:t>’</w:t>
      </w:r>
      <w:r>
        <w:rPr>
          <w:rFonts w:ascii="Times Roman" w:hAnsi="Times Roman"/>
          <w:rtl w:val="0"/>
          <w:lang w:val="en-US"/>
        </w:rPr>
        <w:t xml:space="preserve">s hardening guide recommends closing ports by default and opening only those necessary.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"https://s3.amazonaws.com/files.inductiveautomation.com/s3fs-production/test_folder/Ignition%2520Security%2520Hardening%2520Guide%25208.1%2520(1)_0.pdf?VersionId=61h5UykcNCvjxPASR9oUy5ERT5EFfYgg"</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[56]</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Continuous monitoring of DMZ services</w:t>
      </w:r>
      <w:r>
        <w:rPr>
          <w:rFonts w:ascii="Times Roman" w:hAnsi="Times Roman"/>
          <w:rtl w:val="0"/>
          <w:lang w:val="en-US"/>
        </w:rPr>
        <w:t xml:space="preserve"> (High / Medium): Use broker metrics, logs, and anomaly alerts; HiveMQ supports monitoring guidance and logging configuration.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"https://docs.hivemq.com/hivemq/latest/user-guide/monitoring.html"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Quarterly port scans from each zone boundary; confirm only intended ports are reachable.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[57]</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IDS/SIEM coverage validated: broker log ingestion, connection anomaly detection, and failed auth spikes.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"https://docs.hivemq.com/hivemq/latest/user-guide/monitoring.html"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Metrics: unauthorized connection attempts, failed authentication count, TLS handshake failures.</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DMZ enforcement can break convenience workflows; teams sometimes try to </w:t>
      </w:r>
      <w:r>
        <w:rPr>
          <w:rFonts w:ascii="Times Roman" w:hAnsi="Times Roman" w:hint="default"/>
          <w:rtl w:val="1"/>
          <w:lang w:val="ar-SA" w:bidi="ar-SA"/>
        </w:rPr>
        <w:t>“</w:t>
      </w:r>
      <w:r>
        <w:rPr>
          <w:rFonts w:ascii="Times Roman" w:hAnsi="Times Roman"/>
          <w:rtl w:val="0"/>
          <w:lang w:val="en-US"/>
        </w:rPr>
        <w:t>poke holes</w:t>
      </w:r>
      <w:r>
        <w:rPr>
          <w:rFonts w:ascii="Times Roman" w:hAnsi="Times Roman" w:hint="default"/>
          <w:rtl w:val="0"/>
        </w:rPr>
        <w:t xml:space="preserve">” </w:t>
      </w:r>
      <w:r>
        <w:rPr>
          <w:rFonts w:ascii="Times Roman" w:hAnsi="Times Roman"/>
          <w:rtl w:val="0"/>
          <w:lang w:val="en-US"/>
        </w:rPr>
        <w:t>for quick fixes. Residual risk is largely organizational: without strict change control, the DMZ gradually becomes porous.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New attack surface from IT/OT convergence</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OT</w:t>
      </w:r>
      <w:r>
        <w:rPr>
          <w:rFonts w:ascii="Times Roman" w:hAnsi="Times Roman" w:hint="default"/>
          <w:rtl w:val="0"/>
        </w:rPr>
        <w:t>–</w:t>
      </w:r>
      <w:r>
        <w:rPr>
          <w:rFonts w:ascii="Times Roman" w:hAnsi="Times Roman"/>
          <w:rtl w:val="0"/>
          <w:lang w:val="en-US"/>
        </w:rPr>
        <w:t xml:space="preserve">IT convergence adds new exposed services, credentials, and remote management paths. NIST highlights the need to restrict logical access and network activity (including DMZs and potentially unidirectional gateways) and emphasizes proper firewall configuration to prevent lower-level OT exposure.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[58]</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Threat modeling focused on trust boundaries</w:t>
      </w:r>
      <w:r>
        <w:rPr>
          <w:rFonts w:ascii="Times Roman" w:hAnsi="Times Roman"/>
          <w:rtl w:val="0"/>
          <w:lang w:val="en-US"/>
        </w:rPr>
        <w:t xml:space="preserve"> (High / Medium): Model realistic attacker paths: compromised enterprise workstation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DMZ broker/admin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it-IT"/>
        </w:rPr>
        <w:t>OT data collection.</w:t>
      </w: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Style w:val="None"/>
          <w:rFonts w:ascii="Times Roman" w:hAnsi="Times Roman"/>
          <w:b w:val="0"/>
          <w:bCs w:val="0"/>
          <w:rtl w:val="0"/>
          <w:lang w:val="ru-RU"/>
        </w:rPr>
        <w:t xml:space="preserve">- </w:t>
      </w:r>
      <w:r>
        <w:rPr>
          <w:rFonts w:ascii="Times Roman" w:hAnsi="Times Roman"/>
          <w:b w:val="1"/>
          <w:bCs w:val="1"/>
          <w:rtl w:val="0"/>
          <w:lang w:val="en-US"/>
        </w:rPr>
        <w:t>Administrative access hardening</w:t>
      </w:r>
      <w:r>
        <w:rPr>
          <w:rStyle w:val="None"/>
          <w:rFonts w:ascii="Times Roman" w:hAnsi="Times Roman"/>
          <w:b w:val="0"/>
          <w:bCs w:val="0"/>
          <w:rtl w:val="0"/>
          <w:lang w:val="en-US"/>
        </w:rPr>
        <w:t xml:space="preserve"> (High / Medium):</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Enforce least privilege / RBAC for all admin interfaces. HiveMQ Enterprise supports RBAC for Control Center users.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"https://docs.hivemq.com/hivemq/latest/control-center/configuration.html"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[59]</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HighByte supports users/roles/claims for administration.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"https://guide.highbyte.com/configuration/administration/users_and_roles/"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[60]</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Credential and certificate lifecycle management</w:t>
      </w:r>
      <w:r>
        <w:rPr>
          <w:rFonts w:ascii="Times Roman" w:hAnsi="Times Roman"/>
          <w:rtl w:val="0"/>
          <w:lang w:val="en-US"/>
        </w:rPr>
        <w:t xml:space="preserve"> (High / High): Use per-connector certificates, rotate regularly, and ensure secrets are stored securely. HighByte documents certificate management and describes encryption of stored secrets via a certificate store.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"https://guide.highbyte.com/configuration/administration/certificates/"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MQTT topic authorization</w:t>
      </w:r>
      <w:r>
        <w:rPr>
          <w:rFonts w:ascii="Times Roman" w:hAnsi="Times Roman"/>
          <w:rtl w:val="0"/>
          <w:lang w:val="en-US"/>
        </w:rPr>
        <w:t xml:space="preserve"> (High / Medium): Enforce per-client publish/subscribe permissions (ACL/RBAC). HiveMQ provides authorization options via extensions and documents permissions patterns (e.g., client-ID</w:t>
      </w:r>
      <w:r>
        <w:rPr>
          <w:rFonts w:ascii="Times Roman" w:hAnsi="Times Roman" w:hint="default"/>
          <w:rtl w:val="0"/>
        </w:rPr>
        <w:t>–</w:t>
      </w:r>
      <w:r>
        <w:rPr>
          <w:rFonts w:ascii="Times Roman" w:hAnsi="Times Roman"/>
          <w:rtl w:val="0"/>
          <w:lang w:val="en-US"/>
        </w:rPr>
        <w:t xml:space="preserve">prefixed topics).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"https://docs.hivemq.com/hivemq/latest/extensions/authorization.html"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Disable insecure MQTT listeners</w:t>
      </w:r>
      <w:r>
        <w:rPr>
          <w:rFonts w:ascii="Times Roman" w:hAnsi="Times Roman"/>
          <w:rtl w:val="0"/>
          <w:lang w:val="en-US"/>
        </w:rPr>
        <w:t xml:space="preserve"> (High / Low): HiveMQ can handle secure and insecure connections simultaneously; allowing insecure listeners increases attack surface and the chance of accidental plaintext use</w:t>
      </w:r>
      <w:r>
        <w:rPr>
          <w:rFonts w:ascii="Times Roman" w:hAnsi="Times Roman" w:hint="default"/>
          <w:rtl w:val="0"/>
          <w:lang w:val="en-US"/>
        </w:rPr>
        <w:t>—</w:t>
      </w:r>
      <w:r>
        <w:rPr>
          <w:rFonts w:ascii="Times Roman" w:hAnsi="Times Roman"/>
          <w:rtl w:val="0"/>
          <w:lang w:val="en-US"/>
        </w:rPr>
        <w:t xml:space="preserve">disable or strictly isolate plaintext listeners.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"https://docs.hivemq.com/hivemq/latest/user-guide/security.html"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[63]</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Pen test/security assessment: confirm no unauthorized subscription/publishing is possible; confirm admin interfaces require strong auth and are network-restricted.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"https://docs.hivemq.com/hivemq/latest/extensions/authorization.html"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[64]</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Metrics: ACL denies, auth failures, anomalous topic access patterns, privileged actions per period.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"https://docs.hivemq.com/hivemq/latest/user-guide/monitoring.html"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Strong authorization and certificate management increase operational friction. The trade is preventing a compromised client from becoming a broad data exfiltration or data poisoning channel.</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People's readiness and organizational readiness risks</w:t>
      </w: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Skills gap (limited expertise at pharma scale)</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Misconfiguration is one of the most common root causes of OT integration incidents, and in regulated environments, it becomes a compliance issue (uncontrolled changes, missing audit trails, insecure access). Part 11 closed system controls explicitly require ensuring personnel who develop, maintain, or use electronic record/signature systems have appropriate education, training, and experience. Annex 11 also stresses personnel cooperation and appropriate qualifications/responsibilities.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Role-based training + competency sign-off</w:t>
      </w:r>
      <w:r>
        <w:rPr>
          <w:rFonts w:ascii="Times Roman" w:hAnsi="Times Roman"/>
          <w:rtl w:val="0"/>
          <w:lang w:val="en-US"/>
        </w:rPr>
        <w:t xml:space="preserve"> (High / Medium): Build training paths for OT engineers, IT security, QA/CSV, and operations; require practical assessments (not just </w:t>
      </w:r>
      <w:r>
        <w:rPr>
          <w:rFonts w:ascii="Times Roman" w:hAnsi="Times Roman" w:hint="default"/>
          <w:rtl w:val="1"/>
          <w:lang w:val="ar-SA" w:bidi="ar-SA"/>
        </w:rPr>
        <w:t>“</w:t>
      </w:r>
      <w:r>
        <w:rPr>
          <w:rFonts w:ascii="Times Roman" w:hAnsi="Times Roman"/>
          <w:rtl w:val="0"/>
          <w:lang w:val="fr-FR"/>
        </w:rPr>
        <w:t>attendance</w:t>
      </w:r>
      <w:r>
        <w:rPr>
          <w:rFonts w:ascii="Times Roman" w:hAnsi="Times Roman" w:hint="default"/>
          <w:rtl w:val="0"/>
        </w:rPr>
        <w:t>”</w:t>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 xml:space="preserve">Runbooks and </w:t>
      </w:r>
      <w:r>
        <w:rPr>
          <w:rStyle w:val="None"/>
          <w:rFonts w:ascii="Times Roman" w:hAnsi="Times Roman" w:hint="default"/>
          <w:b w:val="1"/>
          <w:bCs w:val="1"/>
          <w:rtl w:val="1"/>
          <w:lang w:val="ar-SA" w:bidi="ar-SA"/>
        </w:rPr>
        <w:t>“</w:t>
      </w:r>
      <w:r>
        <w:rPr>
          <w:rStyle w:val="None"/>
          <w:rFonts w:ascii="Times Roman" w:hAnsi="Times Roman"/>
          <w:b w:val="1"/>
          <w:bCs w:val="1"/>
          <w:rtl w:val="0"/>
          <w:lang w:val="en-US"/>
        </w:rPr>
        <w:t>golden path</w:t>
      </w:r>
      <w:r>
        <w:rPr>
          <w:rStyle w:val="None"/>
          <w:rFonts w:ascii="Times Roman" w:hAnsi="Times Roman" w:hint="default"/>
          <w:b w:val="1"/>
          <w:bCs w:val="1"/>
          <w:rtl w:val="0"/>
        </w:rPr>
        <w:t xml:space="preserve">” </w:t>
      </w:r>
      <w:r>
        <w:rPr>
          <w:rStyle w:val="None"/>
          <w:rFonts w:ascii="Times Roman" w:hAnsi="Times Roman"/>
          <w:b w:val="1"/>
          <w:bCs w:val="1"/>
          <w:rtl w:val="0"/>
          <w:lang w:val="en-US"/>
        </w:rPr>
        <w:t>build standards</w:t>
      </w:r>
      <w:r>
        <w:rPr>
          <w:rFonts w:ascii="Times Roman" w:hAnsi="Times Roman"/>
          <w:rtl w:val="0"/>
          <w:lang w:val="en-US"/>
        </w:rPr>
        <w:t xml:space="preserve"> (High / Medium): Standardize certificate setup, firewall requests, onboarding new DCS sources, topic naming, and incident response steps.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Configuration-as-code where feasible</w:t>
      </w:r>
      <w:r>
        <w:rPr>
          <w:rFonts w:ascii="Times Roman" w:hAnsi="Times Roman"/>
          <w:rtl w:val="0"/>
          <w:lang w:val="en-US"/>
        </w:rPr>
        <w:t xml:space="preserve"> (Medium / Medium): Reduce manual drift by using controlled configuration deployment patterns (e.g., HighByte supports Git-driven deployment settings and layered JSON fragments).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"https://guide.highbyte.com/setup/git/"</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[65]</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Operational drills</w:t>
      </w:r>
      <w:r>
        <w:rPr>
          <w:rFonts w:ascii="Times Roman" w:hAnsi="Times Roman"/>
          <w:rtl w:val="0"/>
          <w:lang w:val="en-US"/>
        </w:rPr>
        <w:t xml:space="preserve"> (High / Low): Practice </w:t>
      </w:r>
      <w:r>
        <w:rPr>
          <w:rFonts w:ascii="Times Roman" w:hAnsi="Times Roman" w:hint="default"/>
          <w:rtl w:val="1"/>
          <w:lang w:val="ar-SA" w:bidi="ar-SA"/>
        </w:rPr>
        <w:t>“</w:t>
      </w:r>
      <w:r>
        <w:rPr>
          <w:rFonts w:ascii="Times Roman" w:hAnsi="Times Roman"/>
          <w:rtl w:val="0"/>
          <w:lang w:val="en-US"/>
        </w:rPr>
        <w:t>broker down,</w:t>
      </w:r>
      <w:r>
        <w:rPr>
          <w:rFonts w:ascii="Times Roman" w:hAnsi="Times Roman" w:hint="default"/>
          <w:rtl w:val="0"/>
        </w:rPr>
        <w:t>” “</w:t>
      </w:r>
      <w:r>
        <w:rPr>
          <w:rFonts w:ascii="Times Roman" w:hAnsi="Times Roman"/>
          <w:rtl w:val="0"/>
          <w:lang w:val="de-DE"/>
        </w:rPr>
        <w:t>pipeline backlog,</w:t>
      </w:r>
      <w:r>
        <w:rPr>
          <w:rFonts w:ascii="Times Roman" w:hAnsi="Times Roman" w:hint="default"/>
          <w:rtl w:val="0"/>
        </w:rPr>
        <w:t>” “</w:t>
      </w:r>
      <w:r>
        <w:rPr>
          <w:rFonts w:ascii="Times Roman" w:hAnsi="Times Roman"/>
          <w:rtl w:val="0"/>
          <w:lang w:val="en-US"/>
        </w:rPr>
        <w:t>certificate expired,</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lang w:val="en-US"/>
        </w:rPr>
        <w:t>unauthorized publish attempt</w:t>
      </w:r>
      <w:r>
        <w:rPr>
          <w:rFonts w:ascii="Times Roman" w:hAnsi="Times Roman" w:hint="default"/>
          <w:rtl w:val="0"/>
        </w:rPr>
        <w:t xml:space="preserve">” </w:t>
      </w:r>
      <w:r>
        <w:rPr>
          <w:rFonts w:ascii="Times Roman" w:hAnsi="Times Roman"/>
          <w:rtl w:val="0"/>
          <w:lang w:val="es-ES_tradnl"/>
        </w:rPr>
        <w:t>scenarios.</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Metrics: training completion rates; competency pass rates; number of config errors per release; mean time to diagnose and repair.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"https://docs.hivemq.com/hivemq/latest/user-guide/monitoring.html"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[66]</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Tabletop and live drills: score against defined response checklists; track improvement.</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Training and runbooks take up real time that could be spent on delivery. The trade has fewer production incidents and fewer audit findings caused by preventable human error.</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Resourcing unknowns</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A plant bus is not </w:t>
      </w:r>
      <w:r>
        <w:rPr>
          <w:rFonts w:ascii="Times Roman" w:hAnsi="Times Roman" w:hint="default"/>
          <w:rtl w:val="1"/>
          <w:lang w:val="ar-SA" w:bidi="ar-SA"/>
        </w:rPr>
        <w:t>“</w:t>
      </w:r>
      <w:r>
        <w:rPr>
          <w:rFonts w:ascii="Times Roman" w:hAnsi="Times Roman"/>
          <w:rtl w:val="0"/>
          <w:lang w:val="en-US"/>
        </w:rPr>
        <w:t>set it and forget it.</w:t>
      </w:r>
      <w:r>
        <w:rPr>
          <w:rFonts w:ascii="Times Roman" w:hAnsi="Times Roman" w:hint="default"/>
          <w:rtl w:val="0"/>
        </w:rPr>
        <w:t xml:space="preserve">” </w:t>
      </w:r>
      <w:r>
        <w:rPr>
          <w:rFonts w:ascii="Times Roman" w:hAnsi="Times Roman"/>
          <w:rtl w:val="0"/>
          <w:lang w:val="en-US"/>
        </w:rPr>
        <w:t xml:space="preserve">It requires ongoing monitoring, patching, certificate rotation, and change control. Without a resourcing model, availability and data integrity will degrade over time (especially under scale). NIST emphasizes that OT security practices should not be treated as a one-time checklist; monitoring and maintaining countermeasures are part of secure operations.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[67]</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Define an operating model (product owner, platform owner, QA owner, SOC integration)</w:t>
      </w:r>
      <w:r>
        <w:rPr>
          <w:rFonts w:ascii="Times Roman" w:hAnsi="Times Roman"/>
          <w:rtl w:val="0"/>
          <w:lang w:val="en-US"/>
        </w:rPr>
        <w:t xml:space="preserve"> (Medium / Medium): Publish who owns uptime, who approves schema changes, and who reviews audit logs.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[17]</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On-call and escalation paths</w:t>
      </w:r>
      <w:r>
        <w:rPr>
          <w:rFonts w:ascii="Times Roman" w:hAnsi="Times Roman"/>
          <w:rtl w:val="0"/>
          <w:lang w:val="en-US"/>
        </w:rPr>
        <w:t xml:space="preserve"> (Medium / Medium): Define severity levels, paging, vendor escalation, and OT operations coordination.</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Capacity planning</w:t>
      </w:r>
      <w:r>
        <w:rPr>
          <w:rFonts w:ascii="Times Roman" w:hAnsi="Times Roman"/>
          <w:rtl w:val="0"/>
          <w:lang w:val="en-US"/>
        </w:rPr>
        <w:t xml:space="preserve"> (Medium / Medium): Establish throughput forecasts and scale plans for broker and modeling tiers.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"https://docs.hivemq.com/hivemq/latest/user-guide/cluster.html"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[68]</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On-call coverage metrics (coverage %, MTTA, MTTR).</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Capacity metrics (CPU/memory, connection counts, publish rate, backlog).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"https://www.hivemq.com/blog/monitoring-hivemq-mqtt-broker-in-production-guide/"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[69]</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Staffing a new integration platform is </w:t>
      </w:r>
      <w:r>
        <w:rPr>
          <w:rFonts w:ascii="Times Roman" w:hAnsi="Times Roman" w:hint="default"/>
          <w:rtl w:val="1"/>
          <w:lang w:val="ar-SA" w:bidi="ar-SA"/>
        </w:rPr>
        <w:t>“</w:t>
      </w:r>
      <w:r>
        <w:rPr>
          <w:rFonts w:ascii="Times Roman" w:hAnsi="Times Roman"/>
          <w:rtl w:val="0"/>
          <w:lang w:val="en-US"/>
        </w:rPr>
        <w:t>new overhead,</w:t>
      </w:r>
      <w:r>
        <w:rPr>
          <w:rFonts w:ascii="Times Roman" w:hAnsi="Times Roman" w:hint="default"/>
          <w:rtl w:val="0"/>
        </w:rPr>
        <w:t xml:space="preserve">” </w:t>
      </w:r>
      <w:r>
        <w:rPr>
          <w:rFonts w:ascii="Times Roman" w:hAnsi="Times Roman"/>
          <w:rtl w:val="0"/>
          <w:lang w:val="en-US"/>
        </w:rPr>
        <w:t>but the trade-off is avoiding a slow, gradual degradation into an unreliable, non-compliant data plane.</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Training requirements</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Training is directly embedded in compliance expectations: Part 11 requires ensuring personnel have training/experience to perform assigned tasks for electronic record/e-signature systems, and Annex 11 requires appropriate qualifications and clearly defined responsibilities/access.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Train to specific controls</w:t>
      </w:r>
      <w:r>
        <w:rPr>
          <w:rFonts w:ascii="Times Roman" w:hAnsi="Times Roman"/>
          <w:rtl w:val="0"/>
          <w:lang w:val="en-US"/>
        </w:rPr>
        <w:t xml:space="preserve"> (Medium / Medium): training content should map to controls: audit trail review, access provisioning, change control, and incident response.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[53]</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Annual refresh + triggered refresh on major upgrades</w:t>
      </w:r>
      <w:r>
        <w:rPr>
          <w:rFonts w:ascii="Times Roman" w:hAnsi="Times Roman"/>
          <w:rtl w:val="0"/>
          <w:lang w:val="en-US"/>
        </w:rPr>
        <w:t xml:space="preserve"> (Medium / Low): tie refresh to upgrade events and SOP changes.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[70]</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Training records complete; periodic quizzes; observed performance in drills.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Over-training can become checkbox compliance. Keep it practical, scenario-based, and tied to real operational controls.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Program timeline and vendor/resource risks</w:t>
      </w: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Aggressive timeline</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Aggressive timelines collide with the reality that regulated integration platforms require qualification/validation evidence, supplier oversight, and security hardening</w:t>
      </w:r>
      <w:r>
        <w:rPr>
          <w:rFonts w:ascii="Times Roman" w:hAnsi="Times Roman" w:hint="default"/>
          <w:rtl w:val="0"/>
          <w:lang w:val="en-US"/>
        </w:rPr>
        <w:t>—</w:t>
      </w:r>
      <w:r>
        <w:rPr>
          <w:rFonts w:ascii="Times Roman" w:hAnsi="Times Roman"/>
          <w:rtl w:val="0"/>
          <w:lang w:val="en-US"/>
        </w:rPr>
        <w:t xml:space="preserve">these are not optional </w:t>
      </w:r>
      <w:r>
        <w:rPr>
          <w:rFonts w:ascii="Times Roman" w:hAnsi="Times Roman" w:hint="default"/>
          <w:rtl w:val="1"/>
          <w:lang w:val="ar-SA" w:bidi="ar-SA"/>
        </w:rPr>
        <w:t>“</w:t>
      </w:r>
      <w:r>
        <w:rPr>
          <w:rFonts w:ascii="Times Roman" w:hAnsi="Times Roman"/>
          <w:rtl w:val="0"/>
          <w:lang w:val="pt-PT"/>
        </w:rPr>
        <w:t>nice-to-haves.</w:t>
      </w:r>
      <w:r>
        <w:rPr>
          <w:rFonts w:ascii="Times Roman" w:hAnsi="Times Roman" w:hint="default"/>
          <w:rtl w:val="0"/>
        </w:rPr>
        <w:t xml:space="preserve">” </w:t>
      </w:r>
      <w:r>
        <w:rPr>
          <w:rFonts w:ascii="Times Roman" w:hAnsi="Times Roman"/>
          <w:rtl w:val="0"/>
          <w:lang w:val="en-US"/>
        </w:rPr>
        <w:t xml:space="preserve">Annex 11 requires risk management, lifecycle step validation documentation, and formal supplier controls; compressing timelines increases the risk that these controls will become incomplete or shallow.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Stage-gated delivery</w:t>
      </w:r>
      <w:r>
        <w:rPr>
          <w:rFonts w:ascii="Times Roman" w:hAnsi="Times Roman"/>
          <w:rtl w:val="0"/>
          <w:lang w:val="en-US"/>
        </w:rPr>
        <w:t xml:space="preserve"> (Medium / Medium): Gate promotion from pilot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limited production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scale based on measurable exit criteria (security tests, reconciliation pass rates, backup/restore proof).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 xml:space="preserve">De-scope early: </w:t>
      </w:r>
      <w:r>
        <w:rPr>
          <w:rStyle w:val="None"/>
          <w:rFonts w:ascii="Times Roman" w:hAnsi="Times Roman" w:hint="default"/>
          <w:b w:val="1"/>
          <w:bCs w:val="1"/>
          <w:rtl w:val="1"/>
          <w:lang w:val="ar-SA" w:bidi="ar-SA"/>
        </w:rPr>
        <w:t>“</w:t>
      </w:r>
      <w:r>
        <w:rPr>
          <w:rStyle w:val="None"/>
          <w:rFonts w:ascii="Times Roman" w:hAnsi="Times Roman"/>
          <w:b w:val="1"/>
          <w:bCs w:val="1"/>
          <w:rtl w:val="0"/>
          <w:lang w:val="en-US"/>
        </w:rPr>
        <w:t>GMP-critical vs analytics</w:t>
      </w:r>
      <w:r>
        <w:rPr>
          <w:rStyle w:val="None"/>
          <w:rFonts w:ascii="Times Roman" w:hAnsi="Times Roman" w:hint="default"/>
          <w:b w:val="1"/>
          <w:bCs w:val="1"/>
          <w:rtl w:val="0"/>
        </w:rPr>
        <w:t>”</w:t>
      </w:r>
      <w:r>
        <w:rPr>
          <w:rFonts w:ascii="Times Roman" w:hAnsi="Times Roman"/>
          <w:rtl w:val="0"/>
          <w:lang w:val="en-US"/>
        </w:rPr>
        <w:t xml:space="preserve"> (High / Medium): Deliver analytics-first plant bus value while you build the heavier validation evidence needed for GMP-critical dataflows.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[16]</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Pre-approved reference builds</w:t>
      </w:r>
      <w:r>
        <w:rPr>
          <w:rFonts w:ascii="Times Roman" w:hAnsi="Times Roman"/>
          <w:rtl w:val="0"/>
          <w:lang w:val="en-US"/>
        </w:rPr>
        <w:t xml:space="preserve"> (High / Medium): create validated </w:t>
      </w:r>
      <w:r>
        <w:rPr>
          <w:rFonts w:ascii="Times Roman" w:hAnsi="Times Roman" w:hint="default"/>
          <w:rtl w:val="1"/>
          <w:lang w:val="ar-SA" w:bidi="ar-SA"/>
        </w:rPr>
        <w:t>“</w:t>
      </w:r>
      <w:r>
        <w:rPr>
          <w:rFonts w:ascii="Times Roman" w:hAnsi="Times Roman"/>
          <w:rtl w:val="0"/>
          <w:lang w:val="de-DE"/>
        </w:rPr>
        <w:t>golden images</w:t>
      </w:r>
      <w:r>
        <w:rPr>
          <w:rFonts w:ascii="Times Roman" w:hAnsi="Times Roman" w:hint="default"/>
          <w:rtl w:val="0"/>
        </w:rPr>
        <w:t xml:space="preserve">” </w:t>
      </w:r>
      <w:r>
        <w:rPr>
          <w:rFonts w:ascii="Times Roman" w:hAnsi="Times Roman"/>
          <w:rtl w:val="0"/>
          <w:lang w:val="en-US"/>
        </w:rPr>
        <w:t>and repeatable deployment templates.</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Gate adherence and defect density per phase.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 of required validation artifacts completed before go-live.</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Stage gates slow headline delivery speed but reduce catastrophic rework after an inspection or a production incident.</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Resource constraints</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Under-resourcing leads to skipped controls (monitoring gaps, delayed patching, weak change control), which directly increases cyber and data integrity risk. Inductive Automation</w:t>
      </w:r>
      <w:r>
        <w:rPr>
          <w:rFonts w:ascii="Times Roman" w:hAnsi="Times Roman" w:hint="default"/>
          <w:rtl w:val="1"/>
        </w:rPr>
        <w:t>’</w:t>
      </w:r>
      <w:r>
        <w:rPr>
          <w:rFonts w:ascii="Times Roman" w:hAnsi="Times Roman"/>
          <w:rtl w:val="0"/>
          <w:lang w:val="en-US"/>
        </w:rPr>
        <w:t>s security hardening guidance emphasizes ongoing maintenance (keeping software up to date) and recommends firewall/port restrictions</w:t>
      </w:r>
      <w:r>
        <w:rPr>
          <w:rFonts w:ascii="Times Roman" w:hAnsi="Times Roman" w:hint="default"/>
          <w:rtl w:val="0"/>
          <w:lang w:val="en-US"/>
        </w:rPr>
        <w:t>—</w:t>
      </w:r>
      <w:r>
        <w:rPr>
          <w:rFonts w:ascii="Times Roman" w:hAnsi="Times Roman"/>
          <w:rtl w:val="0"/>
          <w:lang w:val="en-US"/>
        </w:rPr>
        <w:t xml:space="preserve">these require staff time and operational discipline.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Reduce scope to protect control quality</w:t>
      </w:r>
      <w:r>
        <w:rPr>
          <w:rFonts w:ascii="Times Roman" w:hAnsi="Times Roman"/>
          <w:rtl w:val="0"/>
          <w:lang w:val="en-US"/>
        </w:rPr>
        <w:t xml:space="preserve"> (Medium / Medium): fewer integrations, better governed.</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Automation tooling investments</w:t>
      </w:r>
      <w:r>
        <w:rPr>
          <w:rFonts w:ascii="Times Roman" w:hAnsi="Times Roman"/>
          <w:rtl w:val="0"/>
          <w:lang w:val="en-US"/>
        </w:rPr>
        <w:t xml:space="preserve"> (Medium / Medium): CI-like testing for pipelines and schema, automated certificate expiry alerts, automated log shipping.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"https://docs.hivemq.com/hivemq/latest/user-guide/monitoring.html"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Patch latency, certificate expiry near-misses, number of unreviewed changes.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[73]</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With constraints, you will choose between </w:t>
      </w:r>
      <w:r>
        <w:rPr>
          <w:rFonts w:ascii="Times Roman" w:hAnsi="Times Roman" w:hint="default"/>
          <w:rtl w:val="1"/>
          <w:lang w:val="ar-SA" w:bidi="ar-SA"/>
        </w:rPr>
        <w:t>“</w:t>
      </w:r>
      <w:r>
        <w:rPr>
          <w:rFonts w:ascii="Times Roman" w:hAnsi="Times Roman"/>
          <w:rtl w:val="0"/>
          <w:lang w:val="en-US"/>
        </w:rPr>
        <w:t>fewer features done right</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lang w:val="en-US"/>
        </w:rPr>
        <w:t>more features done dangerously.</w:t>
      </w:r>
      <w:r>
        <w:rPr>
          <w:rFonts w:ascii="Times Roman" w:hAnsi="Times Roman" w:hint="default"/>
          <w:rtl w:val="0"/>
        </w:rPr>
        <w:t xml:space="preserve">” </w:t>
      </w:r>
      <w:r>
        <w:rPr>
          <w:rFonts w:ascii="Times Roman" w:hAnsi="Times Roman"/>
          <w:rtl w:val="0"/>
          <w:lang w:val="en-US"/>
        </w:rPr>
        <w:t>For regulated operations, the first choice is the defensible one.</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Style w:val="None"/>
          <w:rFonts w:ascii="Times Roman" w:cs="Times Roman" w:hAnsi="Times Roman" w:eastAsia="Times Roman"/>
          <w:b w:val="0"/>
          <w:bCs w:val="0"/>
          <w:rtl w:val="0"/>
        </w:rPr>
      </w:pPr>
      <w:r>
        <w:rPr>
          <w:rFonts w:ascii="Times Roman" w:hAnsi="Times Roman"/>
          <w:b w:val="1"/>
          <w:bCs w:val="1"/>
          <w:rtl w:val="0"/>
          <w:lang w:val="en-US"/>
        </w:rPr>
        <w:t>Risk: Vendor support questioned</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Validation (why legitimate):</w:t>
      </w:r>
      <w:r>
        <w:rPr>
          <w:rFonts w:ascii="Times Roman" w:hAnsi="Times Roman"/>
          <w:rtl w:val="0"/>
          <w:lang w:val="en-US"/>
        </w:rPr>
        <w:t xml:space="preserve"> If vendor support is weak, you risk extended outages, delayed security patches, and slow resolution of integration defects. Annex 11 requires formal agreements with suppliers/service providers that define responsibilities; supplier competence and reliability are key selection factors and may require risk-based auditing.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Mitigations (actionable):</w:t>
      </w:r>
      <w:r>
        <w:rPr>
          <w:rFonts w:ascii="Times Roman" w:hAnsi="Times Roman"/>
          <w:rtl w:val="0"/>
          <w:lang w:val="ru-RU"/>
        </w:rPr>
        <w:t xml:space="preserve"> - </w:t>
      </w:r>
      <w:r>
        <w:rPr>
          <w:rStyle w:val="None"/>
          <w:rFonts w:ascii="Times Roman" w:hAnsi="Times Roman"/>
          <w:b w:val="1"/>
          <w:bCs w:val="1"/>
          <w:rtl w:val="0"/>
          <w:lang w:val="en-US"/>
        </w:rPr>
        <w:t>Support SLAs + escalation paths in contract</w:t>
      </w:r>
      <w:r>
        <w:rPr>
          <w:rFonts w:ascii="Times Roman" w:hAnsi="Times Roman"/>
          <w:rtl w:val="0"/>
          <w:lang w:val="en-US"/>
        </w:rPr>
        <w:t xml:space="preserve"> (Medium / Low): define incident severity response times, patch timelines, and support coverage windows.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Operational independence</w:t>
      </w:r>
      <w:r>
        <w:rPr>
          <w:rFonts w:ascii="Times Roman" w:hAnsi="Times Roman"/>
          <w:rtl w:val="0"/>
          <w:lang w:val="en-US"/>
        </w:rPr>
        <w:t xml:space="preserve"> (Medium / Medium): ensure your team can restore from backups, rotate certs, and roll back configurations without vendor intervention.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"https://docs.hivemq.com/hivemq/latest/user-guide/backup-restore.html"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[74]</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Staging environment + upgrade playbooks</w:t>
      </w:r>
      <w:r>
        <w:rPr>
          <w:rFonts w:ascii="Times Roman" w:hAnsi="Times Roman"/>
          <w:rtl w:val="0"/>
          <w:lang w:val="en-US"/>
        </w:rPr>
        <w:t xml:space="preserve"> (High / Medium): validate upgrades and security patches in staging before production. HiveMQ documentation notes config validation behaviors and the need to restart to apply configuration changes</w:t>
      </w:r>
      <w:r>
        <w:rPr>
          <w:rFonts w:ascii="Times Roman" w:hAnsi="Times Roman" w:hint="default"/>
          <w:rtl w:val="0"/>
          <w:lang w:val="en-US"/>
        </w:rPr>
        <w:t>—</w:t>
      </w:r>
      <w:r>
        <w:rPr>
          <w:rFonts w:ascii="Times Roman" w:hAnsi="Times Roman"/>
          <w:rtl w:val="0"/>
          <w:lang w:val="en-US"/>
        </w:rPr>
        <w:t xml:space="preserve">upgrade planning matters.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"https://docs.hivemq.com/hivemq/latest/user-guide/configuration.html"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[75]</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Verification steps &amp; metrics:</w:t>
      </w:r>
      <w:r>
        <w:rPr>
          <w:rFonts w:ascii="Times Roman" w:hAnsi="Times Roman"/>
          <w:rtl w:val="0"/>
          <w:lang w:val="en-US"/>
        </w:rPr>
        <w:t xml:space="preserve"> - Quarterly </w:t>
      </w:r>
      <w:r>
        <w:rPr>
          <w:rFonts w:ascii="Times Roman" w:hAnsi="Times Roman" w:hint="default"/>
          <w:rtl w:val="1"/>
          <w:lang w:val="ar-SA" w:bidi="ar-SA"/>
        </w:rPr>
        <w:t>“</w:t>
      </w:r>
      <w:r>
        <w:rPr>
          <w:rFonts w:ascii="Times Roman" w:hAnsi="Times Roman"/>
          <w:rtl w:val="0"/>
          <w:lang w:val="en-US"/>
        </w:rPr>
        <w:t>support fire drill</w:t>
      </w:r>
      <w:r>
        <w:rPr>
          <w:rFonts w:ascii="Times Roman" w:hAnsi="Times Roman" w:hint="default"/>
          <w:rtl w:val="0"/>
        </w:rPr>
        <w:t>”</w:t>
      </w:r>
      <w:r>
        <w:rPr>
          <w:rFonts w:ascii="Times Roman" w:hAnsi="Times Roman"/>
          <w:rtl w:val="0"/>
          <w:lang w:val="en-US"/>
        </w:rPr>
        <w:t>: open a simulated SEV, exercise vendor escalation, measure response.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Metrics: time-to-fix, patch availability lag, SLA compliance.</w:t>
      </w:r>
    </w:p>
    <w:p>
      <w:pPr>
        <w:pStyle w:val="Default"/>
        <w:bidi w:val="0"/>
        <w:spacing w:before="0" w:line="240" w:lineRule="auto"/>
        <w:ind w:left="0" w:right="0" w:firstLine="0"/>
        <w:jc w:val="left"/>
        <w:rPr>
          <w:rFonts w:ascii="Times Roman" w:cs="Times Roman" w:hAnsi="Times Roman" w:eastAsia="Times Roman"/>
          <w:rtl w:val="0"/>
        </w:rPr>
      </w:pPr>
      <w:r>
        <w:rPr>
          <w:rStyle w:val="None"/>
          <w:rFonts w:ascii="Times Roman" w:hAnsi="Times Roman"/>
          <w:b w:val="1"/>
          <w:bCs w:val="1"/>
          <w:rtl w:val="0"/>
          <w:lang w:val="en-US"/>
        </w:rPr>
        <w:t>Residual risk &amp; trade-offs:</w:t>
      </w:r>
      <w:r>
        <w:rPr>
          <w:rFonts w:ascii="Times Roman" w:hAnsi="Times Roman"/>
          <w:rtl w:val="0"/>
          <w:lang w:val="en-US"/>
        </w:rPr>
        <w:t xml:space="preserve"> Strong vendor contracts help, but you still carry operational responsibility. The trade is between paying for higher-support tiers versus absorbing more in-house expertise costs.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Product-specific security and configuration guidance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This section consolidates </w:t>
      </w:r>
      <w:r>
        <w:rPr>
          <w:rFonts w:ascii="Times Roman" w:hAnsi="Times Roman" w:hint="default"/>
          <w:rtl w:val="1"/>
          <w:lang w:val="ar-SA" w:bidi="ar-SA"/>
        </w:rPr>
        <w:t>“</w:t>
      </w:r>
      <w:r>
        <w:rPr>
          <w:rFonts w:ascii="Times Roman" w:hAnsi="Times Roman"/>
          <w:rtl w:val="0"/>
          <w:lang w:val="en-US"/>
        </w:rPr>
        <w:t>baseline hardening</w:t>
      </w:r>
      <w:r>
        <w:rPr>
          <w:rFonts w:ascii="Times Roman" w:hAnsi="Times Roman" w:hint="default"/>
          <w:rtl w:val="0"/>
        </w:rPr>
        <w:t xml:space="preserve">” </w:t>
      </w:r>
      <w:r>
        <w:rPr>
          <w:rFonts w:ascii="Times Roman" w:hAnsi="Times Roman"/>
          <w:rtl w:val="0"/>
          <w:lang w:val="en-US"/>
        </w:rPr>
        <w:t>guidance you can use as the starting configuration standard, with references to primary documentation.</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Ignition baseline controls</w:t>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Enforce HTTPS/TLS for gateway communications</w:t>
      </w:r>
      <w:r>
        <w:rPr>
          <w:rFonts w:ascii="Times Roman" w:hAnsi="Times Roman"/>
          <w:rtl w:val="0"/>
          <w:lang w:val="en-US"/>
        </w:rPr>
        <w:t>: Inductive Automation</w:t>
      </w:r>
      <w:r>
        <w:rPr>
          <w:rFonts w:ascii="Times Roman" w:hAnsi="Times Roman" w:hint="default"/>
          <w:rtl w:val="1"/>
        </w:rPr>
        <w:t>’</w:t>
      </w:r>
      <w:r>
        <w:rPr>
          <w:rFonts w:ascii="Times Roman" w:hAnsi="Times Roman"/>
          <w:rtl w:val="0"/>
          <w:lang w:val="en-US"/>
        </w:rPr>
        <w:t xml:space="preserve">s Ignition security hardening guide states that enforcing HTTPS/TLS is the </w:t>
      </w:r>
      <w:r>
        <w:rPr>
          <w:rFonts w:ascii="Times Roman" w:hAnsi="Times Roman" w:hint="default"/>
          <w:rtl w:val="1"/>
          <w:lang w:val="ar-SA" w:bidi="ar-SA"/>
        </w:rPr>
        <w:t>“</w:t>
      </w:r>
      <w:r>
        <w:rPr>
          <w:rFonts w:ascii="Times Roman" w:hAnsi="Times Roman"/>
          <w:rtl w:val="0"/>
          <w:lang w:val="en-US"/>
        </w:rPr>
        <w:t>first and most important step</w:t>
      </w:r>
      <w:r>
        <w:rPr>
          <w:rFonts w:ascii="Times Roman" w:hAnsi="Times Roman" w:hint="default"/>
          <w:rtl w:val="0"/>
        </w:rPr>
        <w:t xml:space="preserve">” </w:t>
      </w:r>
      <w:r>
        <w:rPr>
          <w:rFonts w:ascii="Times Roman" w:hAnsi="Times Roman"/>
          <w:rtl w:val="0"/>
          <w:lang w:val="en-US"/>
        </w:rPr>
        <w:t xml:space="preserve">to secure the gateway and protect traffic from attackers and eavesdroppers.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[54]</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Minimize ports and firewall aggressively</w:t>
      </w:r>
      <w:r>
        <w:rPr>
          <w:rFonts w:ascii="Times Roman" w:hAnsi="Times Roman"/>
          <w:rtl w:val="0"/>
          <w:lang w:val="en-US"/>
        </w:rPr>
        <w:t xml:space="preserve">: the hardening guide recommends closing ports by default and opening only what is necessary, and it references the gateway port reference for default ports.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"https://s3.amazonaws.com/files.inductiveautomation.com/s3fs-production/test_folder/Ignition%2520Security%2520Hardening%2520Guide%25208.1%2520(1)_0.pdf?VersionId=61h5UykcNCvjxPASR9oUy5ERT5EFfYgg"</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[76]</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Use security zones and gateway-network segmentation carefully</w:t>
      </w:r>
      <w:r>
        <w:rPr>
          <w:rFonts w:ascii="Times Roman" w:hAnsi="Times Roman"/>
          <w:rtl w:val="0"/>
          <w:lang w:val="en-US"/>
        </w:rPr>
        <w:t xml:space="preserve">: Ignition supports </w:t>
      </w:r>
      <w:r>
        <w:rPr>
          <w:rFonts w:ascii="Times Roman" w:hAnsi="Times Roman" w:hint="default"/>
          <w:rtl w:val="1"/>
          <w:lang w:val="ar-SA" w:bidi="ar-SA"/>
        </w:rPr>
        <w:t>“</w:t>
      </w:r>
      <w:r>
        <w:rPr>
          <w:rFonts w:ascii="Times Roman" w:hAnsi="Times Roman"/>
          <w:rtl w:val="0"/>
          <w:lang w:val="en-US"/>
        </w:rPr>
        <w:t>Security Zones</w:t>
      </w:r>
      <w:r>
        <w:rPr>
          <w:rFonts w:ascii="Times Roman" w:hAnsi="Times Roman" w:hint="default"/>
          <w:rtl w:val="0"/>
        </w:rPr>
        <w:t xml:space="preserve">” </w:t>
      </w:r>
      <w:r>
        <w:rPr>
          <w:rFonts w:ascii="Times Roman" w:hAnsi="Times Roman"/>
          <w:rtl w:val="0"/>
          <w:lang w:val="en-US"/>
        </w:rPr>
        <w:t xml:space="preserve">for grouping gateways/computers/IPs and applying additional restrictions.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"https://www.docs.inductiveautomation.com/docs/8.1/platform/security/security-zones?utm_source=chatgpt.com"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[77]</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Enable robust audit logging</w:t>
      </w:r>
      <w:r>
        <w:rPr>
          <w:rFonts w:ascii="Times Roman" w:hAnsi="Times Roman"/>
          <w:rtl w:val="0"/>
          <w:lang w:val="fr-FR"/>
        </w:rPr>
        <w:t xml:space="preserve">: Ignition audit profiles record </w:t>
      </w:r>
      <w:r>
        <w:rPr>
          <w:rFonts w:ascii="Times Roman" w:hAnsi="Times Roman" w:hint="default"/>
          <w:rtl w:val="1"/>
          <w:lang w:val="ar-SA" w:bidi="ar-SA"/>
        </w:rPr>
        <w:t>“</w:t>
      </w:r>
      <w:r>
        <w:rPr>
          <w:rFonts w:ascii="Times Roman" w:hAnsi="Times Roman"/>
          <w:rtl w:val="0"/>
          <w:lang w:val="en-US"/>
        </w:rPr>
        <w:t>who did what, when</w:t>
      </w:r>
      <w:r>
        <w:rPr>
          <w:rFonts w:ascii="Times Roman" w:hAnsi="Times Roman" w:hint="default"/>
          <w:rtl w:val="0"/>
        </w:rPr>
        <w:t xml:space="preserve">” </w:t>
      </w:r>
      <w:r>
        <w:rPr>
          <w:rFonts w:ascii="Times Roman" w:hAnsi="Times Roman"/>
          <w:rtl w:val="0"/>
          <w:lang w:val="en-US"/>
        </w:rPr>
        <w:t xml:space="preserve">and can be configured in Gateway &gt; Security &gt; Auditing.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"https://www.docs.inductiveautomation.com/docs/8.1/platform/audit-log-and-profiles"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[78]</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Backups and redundancy</w:t>
      </w:r>
      <w:r>
        <w:rPr>
          <w:rFonts w:ascii="Times Roman" w:hAnsi="Times Roman"/>
          <w:rtl w:val="0"/>
          <w:lang w:val="en-US"/>
        </w:rPr>
        <w:t xml:space="preserve">: Ignition supports gateway backups/restores, and a 2-node redundancy architecture in which a master replicates to a backup node.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"https://www.docs.inductiveautomation.com/docs/8.1/platform/gateway/gateway-backup-and-restore"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[79]</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Keep current and plan upgrades</w:t>
      </w:r>
      <w:r>
        <w:rPr>
          <w:rFonts w:ascii="Times Roman" w:hAnsi="Times Roman"/>
          <w:rtl w:val="0"/>
          <w:lang w:val="en-US"/>
        </w:rPr>
        <w:t xml:space="preserve">: the security hardening guide stresses keeping Ignition up to date to protect from known vulnerabilities and calls for an upgrade plan/checklist.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[36]</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HighByte baseline controls</w:t>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Immediately eliminate the default admin/no-password posture</w:t>
      </w:r>
      <w:r>
        <w:rPr>
          <w:rFonts w:ascii="Times Roman" w:hAnsi="Times Roman"/>
          <w:rtl w:val="0"/>
          <w:lang w:val="en-US"/>
        </w:rPr>
        <w:t xml:space="preserve">: HighByte documentation notes that the default configuration UI is accessible at localhost and that the default username is administrator with no password, pointing users to set passwords and limit access via Users and Roles. This is a real security risk if the service is reachable beyond localhost.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"https://guide.highbyte.com/configuration/"</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[80]</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Use RBAC/claims and external identity where appropriate</w:t>
      </w:r>
      <w:r>
        <w:rPr>
          <w:rFonts w:ascii="Times Roman" w:hAnsi="Times Roman"/>
          <w:rtl w:val="0"/>
          <w:lang w:val="en-US"/>
        </w:rPr>
        <w:t xml:space="preserve">: HighByte supports users/roles/claims and external identity providers, including SAML and Active Directory.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"https://guide.highbyte.com/configuration/administration/users_and_roles/"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[81]</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Enable HTTPS for configuration and data APIs; prefer bearer tokens</w:t>
      </w:r>
      <w:r>
        <w:rPr>
          <w:rFonts w:ascii="Times Roman" w:hAnsi="Times Roman"/>
          <w:rtl w:val="0"/>
          <w:lang w:val="en-US"/>
        </w:rPr>
        <w:t>: HighByte</w:t>
      </w:r>
      <w:r>
        <w:rPr>
          <w:rFonts w:ascii="Times Roman" w:hAnsi="Times Roman" w:hint="default"/>
          <w:rtl w:val="1"/>
        </w:rPr>
        <w:t>’</w:t>
      </w:r>
      <w:r>
        <w:rPr>
          <w:rFonts w:ascii="Times Roman" w:hAnsi="Times Roman"/>
          <w:rtl w:val="0"/>
          <w:lang w:val="en-US"/>
        </w:rPr>
        <w:t xml:space="preserve">s REST Data Server guidance recommends enabling HTTPS and recommends default bearer-token auth, with API keys shown only once.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"https://guide.highbyte.com/configuration/servers/restdata/"</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[82]</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Enable audit logging for configuration changes</w:t>
      </w:r>
      <w:r>
        <w:rPr>
          <w:rFonts w:ascii="Times Roman" w:hAnsi="Times Roman"/>
          <w:rtl w:val="0"/>
          <w:lang w:val="en-US"/>
        </w:rPr>
        <w:t xml:space="preserve">: Application settings include an audit logging option (logAuditEvents) that logs create/update/delete events to a separate audit log database.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"https://guide.highbyte.com/setup/application_settings/"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[44]</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Treat secrets and the appData directory as sensitive. The</w:t>
      </w:r>
      <w:r>
        <w:rPr>
          <w:rFonts w:ascii="Times Roman" w:hAnsi="Times Roman"/>
          <w:rtl w:val="0"/>
          <w:lang w:val="en-US"/>
        </w:rPr>
        <w:t xml:space="preserve"> HighByte application state documentation describes how configuration and users are stored, and that the certificate store contains keys used to encrypt the configuration JSON's passwords. Protect these files with OS controls, backups, and restricted access.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"https://guide.highbyte.com/setup/installation/application_state/"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[83]</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Use store-and-forward + HA/redundancy intentionally</w:t>
      </w:r>
      <w:r>
        <w:rPr>
          <w:rFonts w:ascii="Times Roman" w:hAnsi="Times Roman"/>
          <w:rtl w:val="0"/>
          <w:lang w:val="en-US"/>
        </w:rPr>
        <w:t xml:space="preserve">: Store &amp; Forward buffers data to disk and replays FIFO on recovery, but adds system load and has operational considerations; High Availability mode and redundancy are documented options for failover.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"https://support.highbyte.com/kb/how-to/connections/how-to-utilize-store-forward"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[84]</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Export metrics/logs via OpenTelemetry if possible</w:t>
      </w:r>
      <w:r>
        <w:rPr>
          <w:rFonts w:ascii="Times Roman" w:hAnsi="Times Roman"/>
          <w:rtl w:val="0"/>
          <w:lang w:val="en-US"/>
        </w:rPr>
        <w:t xml:space="preserve">: HighByte supports OpenTelemetry Java agent integration for exporting logs and metrics.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"https://guide.highbyte.com/setup/open_telemetry/"</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[85]</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fr-FR"/>
        </w:rPr>
        <w:t>HiveMQ baseline controls</w:t>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TLS-only MQTT listeners</w:t>
      </w:r>
      <w:r>
        <w:rPr>
          <w:rFonts w:ascii="Times Roman" w:hAnsi="Times Roman"/>
          <w:rtl w:val="0"/>
          <w:lang w:val="en-US"/>
        </w:rPr>
        <w:t xml:space="preserve">: HiveMQ documents TLS listener configuration and notes that you can configure multiple listeners; avoid permitting insecure listeners unless they are fully isolated, because HiveMQ can handle secure and insecure simultaneously.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"https://docs.hivemq.com/hivemq/latest/user-guide/listeners.html"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[86]</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Strong authentication and topic authorization</w:t>
      </w:r>
      <w:r>
        <w:rPr>
          <w:rFonts w:ascii="Times Roman" w:hAnsi="Times Roman"/>
          <w:rtl w:val="0"/>
          <w:lang w:val="en-US"/>
        </w:rPr>
        <w:t xml:space="preserve">: Implement client authentication and authorization using HiveMQ security extensions (e.g., the file-based RBAC extension or the enterprise security extension), and enforce per-client publish/subscribe permissions.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"https://github.com/hivemq/hivemq-file-rbac-extension"</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[87]</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 xml:space="preserve">Understand what encryption does </w:t>
      </w:r>
      <w:r>
        <w:rPr>
          <w:rStyle w:val="None"/>
          <w:rFonts w:ascii="Times Roman" w:hAnsi="Times Roman"/>
          <w:b w:val="1"/>
          <w:bCs w:val="1"/>
          <w:i w:val="1"/>
          <w:iCs w:val="1"/>
          <w:rtl w:val="0"/>
          <w:lang w:val="en-US"/>
        </w:rPr>
        <w:t>not</w:t>
      </w:r>
      <w:r>
        <w:rPr>
          <w:rStyle w:val="None"/>
          <w:rFonts w:ascii="Times Roman" w:hAnsi="Times Roman"/>
          <w:b w:val="1"/>
          <w:bCs w:val="1"/>
          <w:rtl w:val="0"/>
          <w:lang w:val="en-US"/>
        </w:rPr>
        <w:t xml:space="preserve"> protect</w:t>
      </w:r>
      <w:r>
        <w:rPr>
          <w:rFonts w:ascii="Times Roman" w:hAnsi="Times Roman"/>
          <w:rtl w:val="0"/>
          <w:lang w:val="en-US"/>
        </w:rPr>
        <w:t xml:space="preserve">: HiveMQ notes that application-layer encryption protects PUBLISH payloads but does not encrypt topic names or other MQTT messages; TLS is required to secure transport at a broader level.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"https://docs.hivemq.com/hivemq/latest/user-guide/security.html"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[48]</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Operational monitoring and logging are first-class requirements</w:t>
      </w:r>
      <w:r>
        <w:rPr>
          <w:rFonts w:ascii="Times Roman" w:hAnsi="Times Roman"/>
          <w:rtl w:val="0"/>
          <w:lang w:val="en-US"/>
        </w:rPr>
        <w:t xml:space="preserve">: HiveMQ provides guidance on monitoring (Prometheus/Grafana patterns) and logging configuration for production troubleshooting and alerting.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"https://docs.hivemq.com/hivemq/latest/user-guide/monitoring.html"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[22]</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Plan clustering, replication, and backup/restore for availability</w:t>
      </w:r>
      <w:r>
        <w:rPr>
          <w:rFonts w:ascii="Times Roman" w:hAnsi="Times Roman"/>
          <w:rtl w:val="0"/>
          <w:lang w:val="en-US"/>
        </w:rPr>
        <w:t xml:space="preserve">: HiveMQ clusters replicate data across nodes with configurable replicas, and the Control Center provides backup/restore tooling.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"https://docs.hivemq.com/hivemq/latest/user-guide/cluster.html"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[27]</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Use overload protection and rate controls</w:t>
      </w:r>
      <w:r>
        <w:rPr>
          <w:rFonts w:ascii="Times Roman" w:hAnsi="Times Roman"/>
          <w:rtl w:val="0"/>
          <w:lang w:val="en-US"/>
        </w:rPr>
        <w:t xml:space="preserve">: HiveMQ provides cluster overload protection to restrict client traffic that causes excessive load.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"https://docs.hivemq.com/hivemq/4.5/user-guide/overload-protection.html"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[28]</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Verification program and metrics for ongoing assurance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Beyond per-risk verification steps, a plant bus program typically needs a standing </w:t>
      </w:r>
      <w:r>
        <w:rPr>
          <w:rFonts w:ascii="Times Roman" w:hAnsi="Times Roman" w:hint="default"/>
          <w:rtl w:val="1"/>
          <w:lang w:val="ar-SA" w:bidi="ar-SA"/>
        </w:rPr>
        <w:t>“</w:t>
      </w:r>
      <w:r>
        <w:rPr>
          <w:rFonts w:ascii="Times Roman" w:hAnsi="Times Roman"/>
          <w:rtl w:val="0"/>
          <w:lang w:val="en-US"/>
        </w:rPr>
        <w:t>assurance loop</w:t>
      </w:r>
      <w:r>
        <w:rPr>
          <w:rFonts w:ascii="Times Roman" w:hAnsi="Times Roman" w:hint="default"/>
          <w:rtl w:val="0"/>
        </w:rPr>
        <w:t xml:space="preserve">” </w:t>
      </w:r>
      <w:r>
        <w:rPr>
          <w:rFonts w:ascii="Times Roman" w:hAnsi="Times Roman"/>
          <w:rtl w:val="0"/>
          <w:lang w:val="en-US"/>
        </w:rPr>
        <w:t>that combines OT security monitoring with data integrity monitoring:</w:t>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Security assurance loop</w:t>
      </w:r>
      <w:r>
        <w:rPr>
          <w:rFonts w:ascii="Times Roman" w:hAnsi="Times Roman"/>
          <w:rtl w:val="0"/>
          <w:lang w:val="en-US"/>
        </w:rPr>
        <w:t xml:space="preserve">: quarterly firewall rule recertification; vulnerability scanning of DMZ hosts; certificate expiry monitoring; authentication/authorization testing; incident response drills. NIST emphasizes the need for risk-based countermeasures, specifically highlighting DMZ monitoring and protection to prevent pivoting into OT.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Data integrity assurance loop</w:t>
      </w:r>
      <w:r>
        <w:rPr>
          <w:rFonts w:ascii="Times Roman" w:hAnsi="Times Roman"/>
          <w:rtl w:val="0"/>
          <w:lang w:val="en-US"/>
        </w:rPr>
        <w:t xml:space="preserve">: periodic audit trail sampling, reconciliation exception review, time sync drift monitoring, backup/restore drills, and controlled change management. Part 11 requires secure time-stamped audit trails, record protection, limited access, and trained personnel.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[53]</w:t>
      </w:r>
      <w:r>
        <w:rPr>
          <w:rFonts w:ascii="Times Roman" w:cs="Times Roman" w:hAnsi="Times Roman" w:eastAsia="Times Roman"/>
          <w:rtl w:val="0"/>
        </w:rPr>
        <w:fldChar w:fldCharType="end" w:fldLock="0"/>
      </w:r>
    </w:p>
    <w:p>
      <w:pPr>
        <w:pStyle w:val="Default"/>
        <w:numPr>
          <w:ilvl w:val="0"/>
          <w:numId w:val="2"/>
        </w:numPr>
        <w:bidi w:val="0"/>
        <w:spacing w:before="0" w:after="120" w:line="240" w:lineRule="auto"/>
        <w:ind w:right="0"/>
        <w:jc w:val="left"/>
        <w:rPr>
          <w:rFonts w:ascii="Times Roman" w:hAnsi="Times Roman"/>
          <w:rtl w:val="0"/>
          <w:lang w:val="en-US"/>
        </w:rPr>
      </w:pPr>
      <w:r>
        <w:rPr>
          <w:rStyle w:val="None"/>
          <w:rFonts w:ascii="Times Roman" w:hAnsi="Times Roman"/>
          <w:b w:val="1"/>
          <w:bCs w:val="1"/>
          <w:rtl w:val="0"/>
          <w:lang w:val="en-US"/>
        </w:rPr>
        <w:t>Operational assurance loop</w:t>
      </w:r>
      <w:r>
        <w:rPr>
          <w:rFonts w:ascii="Times Roman" w:hAnsi="Times Roman"/>
          <w:rtl w:val="0"/>
          <w:lang w:val="en-US"/>
        </w:rPr>
        <w:t xml:space="preserve">: SLOs for end-to-end latency and delivery success; failover tests for each tier (gateway, modeling, broker); backlog monitoring; and capacity planning using broker and pipeline metrics.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"https://www.hivemq.com/blog/monitoring-hivemq-mqtt-broker-in-production-guide/"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[88]</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A practical </w:t>
      </w:r>
      <w:r>
        <w:rPr>
          <w:rFonts w:ascii="Times Roman" w:hAnsi="Times Roman" w:hint="default"/>
          <w:rtl w:val="1"/>
          <w:lang w:val="ar-SA" w:bidi="ar-SA"/>
        </w:rPr>
        <w:t>“</w:t>
      </w:r>
      <w:r>
        <w:rPr>
          <w:rFonts w:ascii="Times Roman" w:hAnsi="Times Roman"/>
          <w:rtl w:val="0"/>
          <w:lang w:val="en-US"/>
        </w:rPr>
        <w:t>minimum viable metrics set</w:t>
      </w:r>
      <w:r>
        <w:rPr>
          <w:rFonts w:ascii="Times Roman" w:hAnsi="Times Roman" w:hint="default"/>
          <w:rtl w:val="0"/>
        </w:rPr>
        <w:t xml:space="preserve">” </w:t>
      </w:r>
      <w:r>
        <w:rPr>
          <w:rFonts w:ascii="Times Roman" w:hAnsi="Times Roman"/>
          <w:rtl w:val="0"/>
          <w:lang w:val="en-US"/>
        </w:rPr>
        <w:t xml:space="preserve">for sustained control: - Availability: uptime per tier, failover duration, MTTR.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"https://www.docs.inductiveautomation.com/docs/8.1/platform/ignition-redundancy"</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[89]</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Data delivery: publish success rate, subscription success rate, backlog size, dropped message counts, and replay counts.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"https://www.hivemq.com/blog/monitoring-hivemq-mqtt-broker-in-production-guide/"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[90]</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Data integrity: reconciliation exceptions per batch, missing critical event rate, and time drift.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"https://www.fda.gov/media/119267/download"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[23]</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Security: failed auth attempts, ACL denies, privileged admin actions, non-TLS connection attempts.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"https://docs.hivemq.com/hivemq/latest/extensions/authorization.html"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[91]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Residual risk and trade-offs summary</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Even with strong controls, the plant bus introduces unavoidable residual risks: - </w:t>
      </w:r>
      <w:r>
        <w:rPr>
          <w:rStyle w:val="None"/>
          <w:rFonts w:ascii="Times Roman" w:hAnsi="Times Roman"/>
          <w:b w:val="1"/>
          <w:bCs w:val="1"/>
          <w:rtl w:val="0"/>
          <w:lang w:val="en-US"/>
        </w:rPr>
        <w:t>Increased complexity</w:t>
      </w:r>
      <w:r>
        <w:rPr>
          <w:rFonts w:ascii="Times Roman" w:hAnsi="Times Roman"/>
          <w:rtl w:val="0"/>
          <w:lang w:val="en-US"/>
        </w:rPr>
        <w:t xml:space="preserve">: HA clusters, certificates, RBAC, buffering, and multi-DCS mappings reduce failure impact but increase operational surface area.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"https://docs.hivemq.com/hivemq/latest/user-guide/cluster.html"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[92]</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Performance and latency trade-offs</w:t>
      </w:r>
      <w:r>
        <w:rPr>
          <w:rFonts w:ascii="Times Roman" w:hAnsi="Times Roman"/>
          <w:rtl w:val="0"/>
          <w:lang w:val="en-US"/>
        </w:rPr>
        <w:t xml:space="preserve">: Encryption, DMZ routing, and validation gates add latency and impede </w:t>
      </w:r>
      <w:r>
        <w:rPr>
          <w:rFonts w:ascii="Times Roman" w:hAnsi="Times Roman" w:hint="default"/>
          <w:rtl w:val="1"/>
          <w:lang w:val="ar-SA" w:bidi="ar-SA"/>
        </w:rPr>
        <w:t>“</w:t>
      </w:r>
      <w:r>
        <w:rPr>
          <w:rFonts w:ascii="Times Roman" w:hAnsi="Times Roman"/>
          <w:rtl w:val="0"/>
          <w:lang w:val="en-US"/>
        </w:rPr>
        <w:t>quick changes,</w:t>
      </w:r>
      <w:r>
        <w:rPr>
          <w:rFonts w:ascii="Times Roman" w:hAnsi="Times Roman" w:hint="default"/>
          <w:rtl w:val="0"/>
        </w:rPr>
        <w:t xml:space="preserve">” </w:t>
      </w:r>
      <w:r>
        <w:rPr>
          <w:rFonts w:ascii="Times Roman" w:hAnsi="Times Roman"/>
          <w:rtl w:val="0"/>
          <w:lang w:val="en-US"/>
        </w:rPr>
        <w:t xml:space="preserve">but those are the trade-offs that buy defensibility for regulated operations.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[93]</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Confidentiality leak-through via metadata</w:t>
      </w:r>
      <w:r>
        <w:rPr>
          <w:rFonts w:ascii="Times Roman" w:hAnsi="Times Roman"/>
          <w:rtl w:val="0"/>
          <w:lang w:val="en-US"/>
        </w:rPr>
        <w:t xml:space="preserve">: MQTT topic names and broker logs can reveal sensitive operational context; HiveMQ notes topic names remain unencrypted under application-layer encryption, so topic design and TLS are important.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"https://docs.hivemq.com/hivemq/latest/user-guide/security.html"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[48]</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ru-RU"/>
        </w:rPr>
        <w:t xml:space="preserve">- </w:t>
      </w:r>
      <w:r>
        <w:rPr>
          <w:rStyle w:val="None"/>
          <w:rFonts w:ascii="Times Roman" w:hAnsi="Times Roman"/>
          <w:b w:val="1"/>
          <w:bCs w:val="1"/>
          <w:rtl w:val="0"/>
          <w:lang w:val="en-US"/>
        </w:rPr>
        <w:t>Vendor and platform dependency</w:t>
      </w:r>
      <w:r>
        <w:rPr>
          <w:rFonts w:ascii="Times Roman" w:hAnsi="Times Roman"/>
          <w:rtl w:val="0"/>
          <w:lang w:val="en-US"/>
        </w:rPr>
        <w:t>: formal agreements reduce risk but don</w:t>
      </w:r>
      <w:r>
        <w:rPr>
          <w:rFonts w:ascii="Times Roman" w:hAnsi="Times Roman" w:hint="default"/>
          <w:rtl w:val="1"/>
        </w:rPr>
        <w:t>’</w:t>
      </w:r>
      <w:r>
        <w:rPr>
          <w:rFonts w:ascii="Times Roman" w:hAnsi="Times Roman"/>
          <w:rtl w:val="0"/>
          <w:lang w:val="en-US"/>
        </w:rPr>
        <w:t xml:space="preserve">t eliminate it; you still need internal capability to operate, monitor, restore, and validate changes.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[71]</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w:t>
      </w:r>
      <w:r>
        <w:rPr>
          <w:rFonts w:ascii="Times Roman" w:hAnsi="Times Roman" w:hint="default"/>
          <w:rtl w:val="1"/>
          <w:lang w:val="ar-SA" w:bidi="ar-SA"/>
        </w:rPr>
        <w:t>“</w:t>
      </w:r>
      <w:r>
        <w:rPr>
          <w:rFonts w:ascii="Times Roman" w:hAnsi="Times Roman"/>
          <w:rtl w:val="0"/>
          <w:lang w:val="en-US"/>
        </w:rPr>
        <w:t>tell it like it is</w:t>
      </w:r>
      <w:r>
        <w:rPr>
          <w:rFonts w:ascii="Times Roman" w:hAnsi="Times Roman" w:hint="default"/>
          <w:rtl w:val="0"/>
        </w:rPr>
        <w:t xml:space="preserve">” </w:t>
      </w:r>
      <w:r>
        <w:rPr>
          <w:rFonts w:ascii="Times Roman" w:hAnsi="Times Roman"/>
          <w:rtl w:val="0"/>
          <w:lang w:val="en-US"/>
        </w:rPr>
        <w:t xml:space="preserve">bottom line: these fears are legitimate because the plant bus sits at the intersection of </w:t>
      </w:r>
      <w:r>
        <w:rPr>
          <w:rStyle w:val="None"/>
          <w:rFonts w:ascii="Times Roman" w:hAnsi="Times Roman"/>
          <w:b w:val="1"/>
          <w:bCs w:val="1"/>
          <w:rtl w:val="0"/>
          <w:lang w:val="en-US"/>
        </w:rPr>
        <w:t>GMP evidence, OT safety/availability, and cross-zone security</w:t>
      </w:r>
      <w:r>
        <w:rPr>
          <w:rFonts w:ascii="Times Roman" w:hAnsi="Times Roman"/>
          <w:rtl w:val="0"/>
          <w:lang w:val="en-US"/>
        </w:rPr>
        <w:t xml:space="preserve">. If you treat it as a lightweight integration convenience, it will become a compliance and cyber risk issue. If you treat it like a validated, secure, monitored platform with controlled change and high availability, the risks become manageable and auditable.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[94]</w:t>
      </w:r>
      <w:r>
        <w:rPr>
          <w:rFonts w:ascii="Times Roman" w:cs="Times Roman" w:hAnsi="Times Roman" w:eastAsia="Times Roman"/>
          <w:rtl w:val="0"/>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[12]</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[14]</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[16]</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[17]</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[33]</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[35]</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[71]</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"https://health.ec.europa.eu/system/files/2016-11/annex11_01-2011_en_0.pdf"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[94]</w:t>
      </w:r>
      <w:r>
        <w:rPr>
          <w:rFonts w:ascii="Times Roman" w:cs="Times Roman" w:hAnsi="Times Roman" w:eastAsia="Times Roman"/>
          <w:rtl w:val="0"/>
        </w:rPr>
        <w:fldChar w:fldCharType="end" w:fldLock="0"/>
      </w:r>
      <w:r>
        <w:rPr>
          <w:rFonts w:ascii="Times Roman" w:hAnsi="Times Roman"/>
          <w:rtl w:val="0"/>
          <w:lang w:val="en-US"/>
        </w:rPr>
        <w:t xml:space="preserve"> https://health.ec.europa.eu/system/files/2016-11/annex11_01-2011_en_0.pdf</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"https://health.ec.europa.eu/system/files/2016-11/annex11_01-2011_en_0.pdf"</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https://health.ec.europa.eu/system/files/2016-11/annex11_01-2011_en_0.pdf</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[34]</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[36]</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[54]</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[57]</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[70]</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[72]</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"https://assets.inductiveautomation.com/s3fs-production/test_folder/Ignition%2520Security%2520Hardening%2520Guide%25208.1_0.pdf"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[73]</w:t>
      </w:r>
      <w:r>
        <w:rPr>
          <w:rFonts w:ascii="Times Roman" w:cs="Times Roman" w:hAnsi="Times Roman" w:eastAsia="Times Roman"/>
          <w:rtl w:val="0"/>
        </w:rPr>
        <w:fldChar w:fldCharType="end" w:fldLock="0"/>
      </w:r>
      <w:r>
        <w:rPr>
          <w:rFonts w:ascii="Times Roman" w:hAnsi="Times Roman"/>
          <w:rtl w:val="0"/>
          <w:lang w:val="en-US"/>
        </w:rPr>
        <w:t xml:space="preserve"> https://assets.inductiveautomation.com/s3fs-production/test_folder/Ignition%20Security%20Hardening%20Guide%208.1_0.pdf</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"https://assets.inductiveautomation.com/s3fs-production/test_folder/Ignition%2520Security%2520Hardening%2520Guide%25208.1_0.pdf"</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https://assets.inductiveautomation.com/s3fs-production/test_folder/Ignition%20Security%20Hardening%20Guide%208.1_0.pdf</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[19]</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[20]</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[21]</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[58]</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[67]</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"https://nvlpubs.nist.gov/nistpubs/SpecialPublications/NIST.SP.800-82r3.pdf"</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[93]</w:t>
      </w:r>
      <w:r>
        <w:rPr>
          <w:rFonts w:ascii="Times Roman" w:cs="Times Roman" w:hAnsi="Times Roman" w:eastAsia="Times Roman"/>
          <w:rtl w:val="0"/>
        </w:rPr>
        <w:fldChar w:fldCharType="end" w:fldLock="0"/>
      </w:r>
      <w:r>
        <w:rPr>
          <w:rFonts w:ascii="Times Roman" w:hAnsi="Times Roman"/>
          <w:rtl w:val="0"/>
          <w:lang w:val="en-US"/>
        </w:rPr>
        <w:t xml:space="preserve"> https://nvlpubs.nist.gov/nistpubs/SpecialPublications/NIST.SP.800-82r3.pdf</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"https://nvlpubs.nist.gov/nistpubs/SpecialPublications/NIST.SP.800-82r3.pdf"</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https://nvlpubs.nist.gov/nistpubs/SpecialPublications/NIST.SP.800-82r3.pdf</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"https://www.ecfr.gov/current/title-21/chapter-I/subchapter-C/part-211/subpart-J/section-211.188"</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"https://www.ecfr.gov/current/title-21/chapter-I/subchapter-C/part-211/subpart-J/section-211.188"</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"https://www.ecfr.gov/current/title-21/chapter-I/subchapter-C/part-211/subpart-J/section-211.188"</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[37]</w:t>
      </w:r>
      <w:r>
        <w:rPr>
          <w:rFonts w:ascii="Times Roman" w:cs="Times Roman" w:hAnsi="Times Roman" w:eastAsia="Times Roman"/>
          <w:rtl w:val="0"/>
        </w:rPr>
        <w:fldChar w:fldCharType="end" w:fldLock="0"/>
      </w:r>
      <w:r>
        <w:rPr>
          <w:rFonts w:ascii="Times Roman" w:hAnsi="Times Roman"/>
          <w:rtl w:val="0"/>
          <w:lang w:val="en-US"/>
        </w:rPr>
        <w:t xml:space="preserve"> https://www.ecfr.gov/current/title-21/chapter-I/subchapter-C/part-211/subpart-J/section-211.188</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"https://www.ecfr.gov/current/title-21/chapter-I/subchapter-C/part-211/subpart-J/section-211.188"</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https://www.ecfr.gov/current/title-21/chapter-I/subchapter-C/part-211/subpart-J/section-211.188</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[11]</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[32]</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[47]</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[49]</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[52]</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"https://www.ecfr.gov/current/title-21/chapter-I/subchapter-A/part-11/subpart-B/section-11.10"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[53]</w:t>
      </w:r>
      <w:r>
        <w:rPr>
          <w:rFonts w:ascii="Times Roman" w:cs="Times Roman" w:hAnsi="Times Roman" w:eastAsia="Times Roman"/>
          <w:rtl w:val="0"/>
        </w:rPr>
        <w:fldChar w:fldCharType="end" w:fldLock="0"/>
      </w:r>
      <w:r>
        <w:rPr>
          <w:rFonts w:ascii="Times Roman" w:hAnsi="Times Roman"/>
          <w:rtl w:val="0"/>
          <w:lang w:val="en-US"/>
        </w:rPr>
        <w:t xml:space="preserve"> https://www.ecfr.gov/current/title-21/chapter-I/subchapter-A/part-11/subpart-B/section-11.10</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"https://www.ecfr.gov/current/title-21/chapter-I/subchapter-A/part-11/subpart-B/section-11.10"</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https://www.ecfr.gov/current/title-21/chapter-I/subchapter-A/part-11/subpart-B/section-11.10</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"https://docs.hivemq.com/hivemq/latest/user-guide/security.html"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"https://docs.hivemq.com/hivemq/latest/user-guide/security.html"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[48]</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"https://docs.hivemq.com/hivemq/latest/user-guide/security.html"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[63]</w:t>
      </w:r>
      <w:r>
        <w:rPr>
          <w:rFonts w:ascii="Times Roman" w:cs="Times Roman" w:hAnsi="Times Roman" w:eastAsia="Times Roman"/>
          <w:rtl w:val="0"/>
        </w:rPr>
        <w:fldChar w:fldCharType="end" w:fldLock="0"/>
      </w:r>
      <w:r>
        <w:rPr>
          <w:rFonts w:ascii="Times Roman" w:hAnsi="Times Roman"/>
          <w:rtl w:val="0"/>
          <w:lang w:val="en-US"/>
        </w:rPr>
        <w:t xml:space="preserve"> https://docs.hivemq.com/hivemq/latest/user-guide/security.html</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"https://docs.hivemq.com/hivemq/latest/user-guide/security.html"</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https://docs.hivemq.com/hivemq/latest/user-guide/security.html</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"https://www.ecfr.gov/current/title-21/chapter-I/subchapter-C/part-211/subpart-D/section-211.68"</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[9]</w:t>
      </w:r>
      <w:r>
        <w:rPr>
          <w:rFonts w:ascii="Times Roman" w:cs="Times Roman" w:hAnsi="Times Roman" w:eastAsia="Times Roman"/>
          <w:rtl w:val="0"/>
        </w:rPr>
        <w:fldChar w:fldCharType="end" w:fldLock="0"/>
      </w:r>
      <w:r>
        <w:rPr>
          <w:rFonts w:ascii="Times Roman" w:hAnsi="Times Roman"/>
          <w:rtl w:val="0"/>
          <w:lang w:val="en-US"/>
        </w:rPr>
        <w:t xml:space="preserve"> https://www.ecfr.gov/current/title-21/chapter-I/subchapter-C/part-211/subpart-D/section-211.68</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"https://www.ecfr.gov/current/title-21/chapter-I/subchapter-C/part-211/subpart-D/section-211.68"</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https://www.ecfr.gov/current/title-21/chapter-I/subchapter-C/part-211/subpart-D/section-211.68</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"https://www.ecfr.gov/current/title-21/chapter-I/subchapter-A/part-11?utm_source=chatgpt.com"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[10]</w:t>
      </w:r>
      <w:r>
        <w:rPr>
          <w:rFonts w:ascii="Times Roman" w:cs="Times Roman" w:hAnsi="Times Roman" w:eastAsia="Times Roman"/>
          <w:rtl w:val="0"/>
        </w:rPr>
        <w:fldChar w:fldCharType="end" w:fldLock="0"/>
      </w:r>
      <w:r>
        <w:rPr>
          <w:rFonts w:ascii="Times Roman" w:hAnsi="Times Roman"/>
          <w:rtl w:val="0"/>
        </w:rPr>
        <w:t xml:space="preserve"> 21 CFR Part 11 -- Electronic Records; Electronic Signatures</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"https://www.ecfr.gov/current/title-21/chapter-I/subchapter-A/part-11?utm_source=chatgpt.com"</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https://www.ecfr.gov/current/title-21/chapter-I/subchapter-A/part-11?utm_source=chatgpt.com</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"https://www.fda.gov/media/119267/download"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[13]</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"https://www.fda.gov/media/119267/download"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[23]</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"https://www.fda.gov/media/119267/download"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[38]</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"https://www.fda.gov/media/119267/download"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[41]</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"https://www.fda.gov/media/119267/download"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[50]</w:t>
      </w:r>
      <w:r>
        <w:rPr>
          <w:rFonts w:ascii="Times Roman" w:cs="Times Roman" w:hAnsi="Times Roman" w:eastAsia="Times Roman"/>
          <w:rtl w:val="0"/>
        </w:rPr>
        <w:fldChar w:fldCharType="end" w:fldLock="0"/>
      </w:r>
      <w:r>
        <w:rPr>
          <w:rFonts w:ascii="Times Roman" w:hAnsi="Times Roman"/>
          <w:rtl w:val="0"/>
          <w:lang w:val="en-US"/>
        </w:rPr>
        <w:t xml:space="preserve"> https://www.fda.gov/media/119267/download</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"https://www.fda.gov/media/119267/download"</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https://www.fda.gov/media/119267/download</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"https://www.hhs.gov/hipaa/for-professionals/security/index.html"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[15]</w:t>
      </w:r>
      <w:r>
        <w:rPr>
          <w:rFonts w:ascii="Times Roman" w:cs="Times Roman" w:hAnsi="Times Roman" w:eastAsia="Times Roman"/>
          <w:rtl w:val="0"/>
        </w:rPr>
        <w:fldChar w:fldCharType="end" w:fldLock="0"/>
      </w:r>
      <w:r>
        <w:rPr>
          <w:rFonts w:ascii="Times Roman" w:hAnsi="Times Roman"/>
          <w:rtl w:val="0"/>
          <w:lang w:val="en-US"/>
        </w:rPr>
        <w:t xml:space="preserve"> https://www.hhs.gov/hipaa/for-professionals/security/index.html</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"https://www.hhs.gov/hipaa/for-professionals/security/index.html"</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https://www.hhs.gov/hipaa/for-professionals/security/index.html</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"https://docs.hivemq.com/hivemq/latest/user-guide/backup-restore.html"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[18]</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"https://docs.hivemq.com/hivemq/latest/user-guide/backup-restore.html"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[24]</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"https://docs.hivemq.com/hivemq/latest/user-guide/backup-restore.html"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[29]</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"https://docs.hivemq.com/hivemq/latest/user-guide/backup-restore.html"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[40]</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"https://docs.hivemq.com/hivemq/latest/user-guide/backup-restore.html"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[74]</w:t>
      </w:r>
      <w:r>
        <w:rPr>
          <w:rFonts w:ascii="Times Roman" w:cs="Times Roman" w:hAnsi="Times Roman" w:eastAsia="Times Roman"/>
          <w:rtl w:val="0"/>
        </w:rPr>
        <w:fldChar w:fldCharType="end" w:fldLock="0"/>
      </w:r>
      <w:r>
        <w:rPr>
          <w:rFonts w:ascii="Times Roman" w:hAnsi="Times Roman"/>
          <w:rtl w:val="0"/>
          <w:lang w:val="en-US"/>
        </w:rPr>
        <w:t xml:space="preserve"> https://docs.hivemq.com/hivemq/latest/user-guide/backup-restore.html</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"https://docs.hivemq.com/hivemq/latest/user-guide/backup-restore.html"</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https://docs.hivemq.com/hivemq/latest/user-guide/backup-restore.html</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"https://docs.hivemq.com/hivemq/latest/user-guide/monitoring.html"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[22]</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"https://docs.hivemq.com/hivemq/latest/user-guide/monitoring.html"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[31]</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"https://docs.hivemq.com/hivemq/latest/user-guide/monitoring.html"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[66]</w:t>
      </w:r>
      <w:r>
        <w:rPr>
          <w:rFonts w:ascii="Times Roman" w:cs="Times Roman" w:hAnsi="Times Roman" w:eastAsia="Times Roman"/>
          <w:rtl w:val="0"/>
        </w:rPr>
        <w:fldChar w:fldCharType="end" w:fldLock="0"/>
      </w:r>
      <w:r>
        <w:rPr>
          <w:rFonts w:ascii="Times Roman" w:hAnsi="Times Roman"/>
          <w:rtl w:val="0"/>
          <w:lang w:val="en-US"/>
        </w:rPr>
        <w:t xml:space="preserve"> https://docs.hivemq.com/hivemq/latest/user-guide/monitoring.html</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"https://docs.hivemq.com/hivemq/latest/user-guide/monitoring.html"</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https://docs.hivemq.com/hivemq/latest/user-guide/monitoring.html</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"https://www.docs.inductiveautomation.com/docs/8.1/system-architectures/redundancy-architecture"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[25]</w:t>
      </w:r>
      <w:r>
        <w:rPr>
          <w:rFonts w:ascii="Times Roman" w:cs="Times Roman" w:hAnsi="Times Roman" w:eastAsia="Times Roman"/>
          <w:rtl w:val="0"/>
        </w:rPr>
        <w:fldChar w:fldCharType="end" w:fldLock="0"/>
      </w:r>
      <w:r>
        <w:rPr>
          <w:rFonts w:ascii="Times Roman" w:hAnsi="Times Roman"/>
          <w:rtl w:val="0"/>
          <w:lang w:val="en-US"/>
        </w:rPr>
        <w:t xml:space="preserve"> https://www.docs.inductiveautomation.com/docs/8.1/system-architectures/redundancy-architecture</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"https://www.docs.inductiveautomation.com/docs/8.1/system-architectures/redundancy-architecture"</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https://www.docs.inductiveautomation.com/docs/8.1/system-architectures/redundancy-architecture</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"https://guide.highbyte.com/setup/high_availability/"</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[26]</w:t>
      </w:r>
      <w:r>
        <w:rPr>
          <w:rFonts w:ascii="Times Roman" w:cs="Times Roman" w:hAnsi="Times Roman" w:eastAsia="Times Roman"/>
          <w:rtl w:val="0"/>
        </w:rPr>
        <w:fldChar w:fldCharType="end" w:fldLock="0"/>
      </w:r>
      <w:r>
        <w:rPr>
          <w:rFonts w:ascii="Times Roman" w:hAnsi="Times Roman"/>
          <w:rtl w:val="0"/>
          <w:lang w:val="en-US"/>
        </w:rPr>
        <w:t xml:space="preserve"> https://guide.highbyte.com/setup/high_availability/</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"https://guide.highbyte.com/setup/high_availability/"</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https://guide.highbyte.com/setup/high_availability/</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"https://docs.hivemq.com/hivemq/latest/user-guide/cluster.html"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[27]</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"https://docs.hivemq.com/hivemq/latest/user-guide/cluster.html"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[39]</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"https://docs.hivemq.com/hivemq/latest/user-guide/cluster.html"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[68]</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"https://docs.hivemq.com/hivemq/latest/user-guide/cluster.html"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[92]</w:t>
      </w:r>
      <w:r>
        <w:rPr>
          <w:rFonts w:ascii="Times Roman" w:cs="Times Roman" w:hAnsi="Times Roman" w:eastAsia="Times Roman"/>
          <w:rtl w:val="0"/>
        </w:rPr>
        <w:fldChar w:fldCharType="end" w:fldLock="0"/>
      </w:r>
      <w:r>
        <w:rPr>
          <w:rFonts w:ascii="Times Roman" w:hAnsi="Times Roman"/>
          <w:rtl w:val="0"/>
          <w:lang w:val="en-US"/>
        </w:rPr>
        <w:t xml:space="preserve"> https://docs.hivemq.com/hivemq/latest/user-guide/cluster.html</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"https://docs.hivemq.com/hivemq/latest/user-guide/cluster.html"</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https://docs.hivemq.com/hivemq/latest/user-guide/cluster.html</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"https://docs.hivemq.com/hivemq/4.5/user-guide/overload-protection.html"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[28]</w:t>
      </w:r>
      <w:r>
        <w:rPr>
          <w:rFonts w:ascii="Times Roman" w:cs="Times Roman" w:hAnsi="Times Roman" w:eastAsia="Times Roman"/>
          <w:rtl w:val="0"/>
        </w:rPr>
        <w:fldChar w:fldCharType="end" w:fldLock="0"/>
      </w:r>
      <w:r>
        <w:rPr>
          <w:rFonts w:ascii="Times Roman" w:hAnsi="Times Roman"/>
          <w:rtl w:val="0"/>
          <w:lang w:val="en-US"/>
        </w:rPr>
        <w:t xml:space="preserve"> https://docs.hivemq.com/hivemq/4.5/user-guide/overload-protection.html</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"https://docs.hivemq.com/hivemq/4.5/user-guide/overload-protection.html"</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https://docs.hivemq.com/hivemq/4.5/user-guide/overload-protection.html</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"https://support.highbyte.com/kb/how-to/connections/how-to-utilize-store-forward"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[30]</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"https://support.highbyte.com/kb/how-to/connections/how-to-utilize-store-forward"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[84]</w:t>
      </w:r>
      <w:r>
        <w:rPr>
          <w:rFonts w:ascii="Times Roman" w:cs="Times Roman" w:hAnsi="Times Roman" w:eastAsia="Times Roman"/>
          <w:rtl w:val="0"/>
        </w:rPr>
        <w:fldChar w:fldCharType="end" w:fldLock="0"/>
      </w:r>
      <w:r>
        <w:rPr>
          <w:rFonts w:ascii="Times Roman" w:hAnsi="Times Roman"/>
          <w:rtl w:val="0"/>
          <w:lang w:val="en-US"/>
        </w:rPr>
        <w:t xml:space="preserve"> https://support.highbyte.com/kb/how-to/connections/how-to-utilize-store-forward</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"https://support.highbyte.com/kb/how-to/connections/how-to-utilize-store-forward"</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https://support.highbyte.com/kb/how-to/connections/how-to-utilize-store-forward</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"https://guide.highbyte.com/configuration/model/"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[42]</w:t>
      </w:r>
      <w:r>
        <w:rPr>
          <w:rFonts w:ascii="Times Roman" w:cs="Times Roman" w:hAnsi="Times Roman" w:eastAsia="Times Roman"/>
          <w:rtl w:val="0"/>
        </w:rPr>
        <w:fldChar w:fldCharType="end" w:fldLock="0"/>
      </w:r>
      <w:r>
        <w:rPr>
          <w:rFonts w:ascii="Times Roman" w:hAnsi="Times Roman"/>
          <w:rtl w:val="0"/>
          <w:lang w:val="en-US"/>
        </w:rPr>
        <w:t xml:space="preserve"> https://guide.highbyte.com/configuration/model/</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"https://guide.highbyte.com/configuration/model/"</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https://guide.highbyte.com/configuration/model/</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"https://guide.highbyte.com/troubleshooting/status_and_metrics/"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[43]</w:t>
      </w:r>
      <w:r>
        <w:rPr>
          <w:rFonts w:ascii="Times Roman" w:cs="Times Roman" w:hAnsi="Times Roman" w:eastAsia="Times Roman"/>
          <w:rtl w:val="0"/>
        </w:rPr>
        <w:fldChar w:fldCharType="end" w:fldLock="0"/>
      </w:r>
      <w:r>
        <w:rPr>
          <w:rFonts w:ascii="Times Roman" w:hAnsi="Times Roman"/>
          <w:rtl w:val="0"/>
          <w:lang w:val="en-US"/>
        </w:rPr>
        <w:t xml:space="preserve"> https://guide.highbyte.com/troubleshooting/status_and_metrics/</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"https://guide.highbyte.com/troubleshooting/status_and_metrics/"</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https://guide.highbyte.com/troubleshooting/status_and_metrics/</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"https://guide.highbyte.com/setup/application_settings/"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[44]</w:t>
      </w:r>
      <w:r>
        <w:rPr>
          <w:rFonts w:ascii="Times Roman" w:cs="Times Roman" w:hAnsi="Times Roman" w:eastAsia="Times Roman"/>
          <w:rtl w:val="0"/>
        </w:rPr>
        <w:fldChar w:fldCharType="end" w:fldLock="0"/>
      </w:r>
      <w:r>
        <w:rPr>
          <w:rFonts w:ascii="Times Roman" w:hAnsi="Times Roman"/>
          <w:rtl w:val="0"/>
          <w:lang w:val="en-US"/>
        </w:rPr>
        <w:t xml:space="preserve"> https://guide.highbyte.com/setup/application_settings/</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"https://guide.highbyte.com/setup/application_settings/"</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https://guide.highbyte.com/setup/application_settings/</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"https://www.docs.inductiveautomation.com/docs/8.1/platform/audit-log-and-profiles"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[45]</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"https://www.docs.inductiveautomation.com/docs/8.1/platform/audit-log-and-profiles"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[78]</w:t>
      </w:r>
      <w:r>
        <w:rPr>
          <w:rFonts w:ascii="Times Roman" w:cs="Times Roman" w:hAnsi="Times Roman" w:eastAsia="Times Roman"/>
          <w:rtl w:val="0"/>
        </w:rPr>
        <w:fldChar w:fldCharType="end" w:fldLock="0"/>
      </w:r>
      <w:r>
        <w:rPr>
          <w:rFonts w:ascii="Times Roman" w:hAnsi="Times Roman"/>
          <w:rtl w:val="0"/>
          <w:lang w:val="en-US"/>
        </w:rPr>
        <w:t xml:space="preserve"> https://www.docs.inductiveautomation.com/docs/8.1/platform/audit-log-and-profiles</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"https://www.docs.inductiveautomation.com/docs/8.1/platform/audit-log-and-profiles"</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https://www.docs.inductiveautomation.com/docs/8.1/platform/audit-log-and-profiles</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"https://docs.hivemq.com/hivemq/latest/user-guide/logging.html"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[46]</w:t>
      </w:r>
      <w:r>
        <w:rPr>
          <w:rFonts w:ascii="Times Roman" w:cs="Times Roman" w:hAnsi="Times Roman" w:eastAsia="Times Roman"/>
          <w:rtl w:val="0"/>
        </w:rPr>
        <w:fldChar w:fldCharType="end" w:fldLock="0"/>
      </w:r>
      <w:r>
        <w:rPr>
          <w:rFonts w:ascii="Times Roman" w:hAnsi="Times Roman"/>
          <w:rtl w:val="0"/>
          <w:lang w:val="en-US"/>
        </w:rPr>
        <w:t xml:space="preserve"> https://docs.hivemq.com/hivemq/latest/user-guide/logging.html</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"https://docs.hivemq.com/hivemq/latest/user-guide/logging.html"</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https://docs.hivemq.com/hivemq/latest/user-guide/logging.html</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"https://www.fda.gov/regulatory-information/search-fda-guidance-documents/computer-software-assurance-production-and-quality-management-system-software"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[51]</w:t>
      </w:r>
      <w:r>
        <w:rPr>
          <w:rFonts w:ascii="Times Roman" w:cs="Times Roman" w:hAnsi="Times Roman" w:eastAsia="Times Roman"/>
          <w:rtl w:val="0"/>
        </w:rPr>
        <w:fldChar w:fldCharType="end" w:fldLock="0"/>
      </w:r>
      <w:r>
        <w:rPr>
          <w:rFonts w:ascii="Times Roman" w:hAnsi="Times Roman"/>
          <w:rtl w:val="0"/>
          <w:lang w:val="en-US"/>
        </w:rPr>
        <w:t xml:space="preserve"> https://www.fda.gov/regulatory-information/search-fda-guidance-documents/computer-software-assurance-production-and-quality-management-system-software</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"https://www.fda.gov/regulatory-information/search-fda-guidance-documents/computer-software-assurance-production-and-quality-management-system-software"</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https://www.fda.gov/regulatory-information/search-fda-guidance-documents/computer-software-assurance-production-and-quality-management-system-software</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"https://docs.hivemq.com/hivemq/latest/user-guide/listeners.html"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[55]</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"https://docs.hivemq.com/hivemq/latest/user-guide/listeners.html"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[86]</w:t>
      </w:r>
      <w:r>
        <w:rPr>
          <w:rFonts w:ascii="Times Roman" w:cs="Times Roman" w:hAnsi="Times Roman" w:eastAsia="Times Roman"/>
          <w:rtl w:val="0"/>
        </w:rPr>
        <w:fldChar w:fldCharType="end" w:fldLock="0"/>
      </w:r>
      <w:r>
        <w:rPr>
          <w:rFonts w:ascii="Times Roman" w:hAnsi="Times Roman"/>
          <w:rtl w:val="0"/>
          <w:lang w:val="en-US"/>
        </w:rPr>
        <w:t xml:space="preserve"> https://docs.hivemq.com/hivemq/latest/user-guide/listeners.html</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"https://docs.hivemq.com/hivemq/latest/user-guide/listeners.html"</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https://docs.hivemq.com/hivemq/latest/user-guide/listeners.html</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"https://s3.amazonaws.com/files.inductiveautomation.com/s3fs-production/test_folder/Ignition%2520Security%2520Hardening%2520Guide%25208.1%2520(1)_0.pdf?VersionId=61h5UykcNCvjxPASR9oUy5ERT5EFfYgg"</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[56]</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"https://s3.amazonaws.com/files.inductiveautomation.com/s3fs-production/test_folder/Ignition%2520Security%2520Hardening%2520Guide%25208.1%2520(1)_0.pdf?VersionId=61h5UykcNCvjxPASR9oUy5ERT5EFfYgg"</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[76]</w:t>
      </w:r>
      <w:r>
        <w:rPr>
          <w:rFonts w:ascii="Times Roman" w:cs="Times Roman" w:hAnsi="Times Roman" w:eastAsia="Times Roman"/>
          <w:rtl w:val="0"/>
        </w:rPr>
        <w:fldChar w:fldCharType="end" w:fldLock="0"/>
      </w:r>
      <w:r>
        <w:rPr>
          <w:rFonts w:ascii="Times Roman" w:hAnsi="Times Roman"/>
          <w:rtl w:val="0"/>
          <w:lang w:val="en-US"/>
        </w:rPr>
        <w:t xml:space="preserve"> https://s3.amazonaws.com/files.inductiveautomation.com/s3fs-production/test_folder/Ignition%20Security%20Hardening%20Guide%208.1%20%281%29_0.pdf?VersionId=61h5UykcNCvjxPASR9oUy5ERT5EFfYgg</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"https://s3.amazonaws.com/files.inductiveautomation.com/s3fs-production/test_folder/Ignition%2520Security%2520Hardening%2520Guide%25208.1%2520(1)_0.pdf?VersionId=61h5UykcNCvjxPASR9oUy5ERT5EFfYgg"</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https://s3.amazonaws.com/files.inductiveautomation.com/s3fs-production/test_folder/Ignition%20Security%20Hardening%20Guide%208.1%20%281%29_0.pdf?VersionId=61h5UykcNCvjxPASR9oUy5ERT5EFfYgg</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"https://docs.hivemq.com/hivemq/latest/control-center/configuration.html"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[59]</w:t>
      </w:r>
      <w:r>
        <w:rPr>
          <w:rFonts w:ascii="Times Roman" w:cs="Times Roman" w:hAnsi="Times Roman" w:eastAsia="Times Roman"/>
          <w:rtl w:val="0"/>
        </w:rPr>
        <w:fldChar w:fldCharType="end" w:fldLock="0"/>
      </w:r>
      <w:r>
        <w:rPr>
          <w:rFonts w:ascii="Times Roman" w:hAnsi="Times Roman"/>
          <w:rtl w:val="0"/>
          <w:lang w:val="en-US"/>
        </w:rPr>
        <w:t xml:space="preserve"> https://docs.hivemq.com/hivemq/latest/control-center/configuration.html</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"https://docs.hivemq.com/hivemq/latest/control-center/configuration.html"</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https://docs.hivemq.com/hivemq/latest/control-center/configuration.html</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"https://guide.highbyte.com/configuration/administration/users_and_roles/"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[60]</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"https://guide.highbyte.com/configuration/administration/users_and_roles/"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[81]</w:t>
      </w:r>
      <w:r>
        <w:rPr>
          <w:rFonts w:ascii="Times Roman" w:cs="Times Roman" w:hAnsi="Times Roman" w:eastAsia="Times Roman"/>
          <w:rtl w:val="0"/>
        </w:rPr>
        <w:fldChar w:fldCharType="end" w:fldLock="0"/>
      </w:r>
      <w:r>
        <w:rPr>
          <w:rFonts w:ascii="Times Roman" w:hAnsi="Times Roman"/>
          <w:rtl w:val="0"/>
          <w:lang w:val="en-US"/>
        </w:rPr>
        <w:t xml:space="preserve"> https://guide.highbyte.com/configuration/administration/users_and_roles/</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"https://guide.highbyte.com/configuration/administration/users_and_roles/"</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https://guide.highbyte.com/configuration/administration/users_and_roles/</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"https://guide.highbyte.com/configuration/administration/certificates/"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[61]</w:t>
      </w:r>
      <w:r>
        <w:rPr>
          <w:rFonts w:ascii="Times Roman" w:cs="Times Roman" w:hAnsi="Times Roman" w:eastAsia="Times Roman"/>
          <w:rtl w:val="0"/>
        </w:rPr>
        <w:fldChar w:fldCharType="end" w:fldLock="0"/>
      </w:r>
      <w:r>
        <w:rPr>
          <w:rFonts w:ascii="Times Roman" w:hAnsi="Times Roman"/>
          <w:rtl w:val="0"/>
          <w:lang w:val="en-US"/>
        </w:rPr>
        <w:t xml:space="preserve"> https://guide.highbyte.com/configuration/administration/certificates/</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"https://guide.highbyte.com/configuration/administration/certificates/"</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https://guide.highbyte.com/configuration/administration/certificates/</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"https://docs.hivemq.com/hivemq/latest/extensions/authorization.html"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[62]</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"https://docs.hivemq.com/hivemq/latest/extensions/authorization.html"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[64]</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"https://docs.hivemq.com/hivemq/latest/extensions/authorization.html"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[91]</w:t>
      </w:r>
      <w:r>
        <w:rPr>
          <w:rFonts w:ascii="Times Roman" w:cs="Times Roman" w:hAnsi="Times Roman" w:eastAsia="Times Roman"/>
          <w:rtl w:val="0"/>
        </w:rPr>
        <w:fldChar w:fldCharType="end" w:fldLock="0"/>
      </w:r>
      <w:r>
        <w:rPr>
          <w:rFonts w:ascii="Times Roman" w:hAnsi="Times Roman"/>
          <w:rtl w:val="0"/>
          <w:lang w:val="en-US"/>
        </w:rPr>
        <w:t xml:space="preserve"> https://docs.hivemq.com/hivemq/latest/extensions/authorization.html</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"https://docs.hivemq.com/hivemq/latest/extensions/authorization.html"</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https://docs.hivemq.com/hivemq/latest/extensions/authorization.html</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"https://guide.highbyte.com/setup/git/"</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[65]</w:t>
      </w:r>
      <w:r>
        <w:rPr>
          <w:rFonts w:ascii="Times Roman" w:cs="Times Roman" w:hAnsi="Times Roman" w:eastAsia="Times Roman"/>
          <w:rtl w:val="0"/>
        </w:rPr>
        <w:fldChar w:fldCharType="end" w:fldLock="0"/>
      </w:r>
      <w:r>
        <w:rPr>
          <w:rFonts w:ascii="Times Roman" w:hAnsi="Times Roman"/>
          <w:rtl w:val="0"/>
          <w:lang w:val="en-US"/>
        </w:rPr>
        <w:t xml:space="preserve"> https://guide.highbyte.com/setup/git/</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"https://guide.highbyte.com/setup/git/"</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https://guide.highbyte.com/setup/git/</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"https://www.hivemq.com/blog/monitoring-hivemq-mqtt-broker-in-production-guide/"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[69]</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"https://www.hivemq.com/blog/monitoring-hivemq-mqtt-broker-in-production-guide/"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[88]</w:t>
      </w:r>
      <w:r>
        <w:rPr>
          <w:rFonts w:ascii="Times Roman" w:cs="Times Roman" w:hAnsi="Times Roman" w:eastAsia="Times Roman"/>
          <w:rtl w:val="0"/>
        </w:rPr>
        <w:fldChar w:fldCharType="end" w:fldLock="0"/>
      </w:r>
      <w:r>
        <w:rPr>
          <w:rFonts w:ascii="Times Roman" w:hAnsi="Times Roman"/>
          <w:rtl w:val="0"/>
        </w:rPr>
        <w:t xml:space="preserve"> </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"https://www.hivemq.com/blog/monitoring-hivemq-mqtt-broker-in-production-guide/"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[90]</w:t>
      </w:r>
      <w:r>
        <w:rPr>
          <w:rFonts w:ascii="Times Roman" w:cs="Times Roman" w:hAnsi="Times Roman" w:eastAsia="Times Roman"/>
          <w:rtl w:val="0"/>
        </w:rPr>
        <w:fldChar w:fldCharType="end" w:fldLock="0"/>
      </w:r>
      <w:r>
        <w:rPr>
          <w:rFonts w:ascii="Times Roman" w:hAnsi="Times Roman"/>
          <w:rtl w:val="0"/>
          <w:lang w:val="en-US"/>
        </w:rPr>
        <w:t xml:space="preserve"> https://www.hivemq.com/blog/monitoring-hivemq-mqtt-broker-in-production-guide/</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"https://www.hivemq.com/blog/monitoring-hivemq-mqtt-broker-in-production-guide/"</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https://www.hivemq.com/blog/monitoring-hivemq-mqtt-broker-in-production-guide/</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"https://docs.hivemq.com/hivemq/latest/user-guide/configuration.html"</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[75]</w:t>
      </w:r>
      <w:r>
        <w:rPr>
          <w:rFonts w:ascii="Times Roman" w:cs="Times Roman" w:hAnsi="Times Roman" w:eastAsia="Times Roman"/>
          <w:rtl w:val="0"/>
        </w:rPr>
        <w:fldChar w:fldCharType="end" w:fldLock="0"/>
      </w:r>
      <w:r>
        <w:rPr>
          <w:rFonts w:ascii="Times Roman" w:hAnsi="Times Roman"/>
          <w:rtl w:val="0"/>
          <w:lang w:val="en-US"/>
        </w:rPr>
        <w:t xml:space="preserve"> https://docs.hivemq.com/hivemq/latest/user-guide/configuration.html</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"https://docs.hivemq.com/hivemq/latest/user-guide/configuration.html"</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https://docs.hivemq.com/hivemq/latest/user-guide/configuration.html</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"https://www.docs.inductiveautomation.com/docs/8.1/platform/security/security-zones?utm_source=chatgpt.com"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[77]</w:t>
      </w:r>
      <w:r>
        <w:rPr>
          <w:rFonts w:ascii="Times Roman" w:cs="Times Roman" w:hAnsi="Times Roman" w:eastAsia="Times Roman"/>
          <w:rtl w:val="0"/>
        </w:rPr>
        <w:fldChar w:fldCharType="end" w:fldLock="0"/>
      </w:r>
      <w:r>
        <w:rPr>
          <w:rFonts w:ascii="Times Roman" w:hAnsi="Times Roman"/>
          <w:rtl w:val="0"/>
          <w:lang w:val="en-US"/>
        </w:rPr>
        <w:t xml:space="preserve"> Security Zones - Ignition User Manual - Inductive Automation</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"https://www.docs.inductiveautomation.com/docs/8.1/platform/security/security-zones?utm_source=chatgpt.com"</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https://www.docs.inductiveautomation.com/docs/8.1/platform/security/security-zones?utm_source=chatgpt.com</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"https://www.docs.inductiveautomation.com/docs/8.1/platform/gateway/gateway-backup-and-restore"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[79]</w:t>
      </w:r>
      <w:r>
        <w:rPr>
          <w:rFonts w:ascii="Times Roman" w:cs="Times Roman" w:hAnsi="Times Roman" w:eastAsia="Times Roman"/>
          <w:rtl w:val="0"/>
        </w:rPr>
        <w:fldChar w:fldCharType="end" w:fldLock="0"/>
      </w:r>
      <w:r>
        <w:rPr>
          <w:rFonts w:ascii="Times Roman" w:hAnsi="Times Roman"/>
          <w:rtl w:val="0"/>
          <w:lang w:val="en-US"/>
        </w:rPr>
        <w:t xml:space="preserve"> https://www.docs.inductiveautomation.com/docs/8.1/platform/gateway/gateway-backup-and-restore</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"https://www.docs.inductiveautomation.com/docs/8.1/platform/gateway/gateway-backup-and-restore"</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https://www.docs.inductiveautomation.com/docs/8.1/platform/gateway/gateway-backup-and-restore</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"https://guide.highbyte.com/configuration/"</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[80]</w:t>
      </w:r>
      <w:r>
        <w:rPr>
          <w:rFonts w:ascii="Times Roman" w:cs="Times Roman" w:hAnsi="Times Roman" w:eastAsia="Times Roman"/>
          <w:rtl w:val="0"/>
        </w:rPr>
        <w:fldChar w:fldCharType="end" w:fldLock="0"/>
      </w:r>
      <w:r>
        <w:rPr>
          <w:rFonts w:ascii="Times Roman" w:hAnsi="Times Roman"/>
          <w:rtl w:val="0"/>
          <w:lang w:val="en-US"/>
        </w:rPr>
        <w:t xml:space="preserve"> https://guide.highbyte.com/configuration/</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"https://guide.highbyte.com/configuration/"</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https://guide.highbyte.com/configuration/</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"https://guide.highbyte.com/configuration/servers/restdata/"</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[82]</w:t>
      </w:r>
      <w:r>
        <w:rPr>
          <w:rFonts w:ascii="Times Roman" w:cs="Times Roman" w:hAnsi="Times Roman" w:eastAsia="Times Roman"/>
          <w:rtl w:val="0"/>
        </w:rPr>
        <w:fldChar w:fldCharType="end" w:fldLock="0"/>
      </w:r>
      <w:r>
        <w:rPr>
          <w:rFonts w:ascii="Times Roman" w:hAnsi="Times Roman"/>
          <w:rtl w:val="0"/>
          <w:lang w:val="en-US"/>
        </w:rPr>
        <w:t xml:space="preserve"> https://guide.highbyte.com/configuration/servers/restdata/</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"https://guide.highbyte.com/configuration/servers/restdata/"</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https://guide.highbyte.com/configuration/servers/restdata/</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"https://guide.highbyte.com/setup/installation/application_state/"</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[83]</w:t>
      </w:r>
      <w:r>
        <w:rPr>
          <w:rFonts w:ascii="Times Roman" w:cs="Times Roman" w:hAnsi="Times Roman" w:eastAsia="Times Roman"/>
          <w:rtl w:val="0"/>
        </w:rPr>
        <w:fldChar w:fldCharType="end" w:fldLock="0"/>
      </w:r>
      <w:r>
        <w:rPr>
          <w:rFonts w:ascii="Times Roman" w:hAnsi="Times Roman"/>
          <w:rtl w:val="0"/>
          <w:lang w:val="en-US"/>
        </w:rPr>
        <w:t xml:space="preserve"> https://guide.highbyte.com/setup/installation/application_state/</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"https://guide.highbyte.com/setup/installation/application_state/"</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https://guide.highbyte.com/setup/installation/application_state/</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"https://guide.highbyte.com/setup/open_telemetry/"</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[85]</w:t>
      </w:r>
      <w:r>
        <w:rPr>
          <w:rFonts w:ascii="Times Roman" w:cs="Times Roman" w:hAnsi="Times Roman" w:eastAsia="Times Roman"/>
          <w:rtl w:val="0"/>
        </w:rPr>
        <w:fldChar w:fldCharType="end" w:fldLock="0"/>
      </w:r>
      <w:r>
        <w:rPr>
          <w:rFonts w:ascii="Times Roman" w:hAnsi="Times Roman"/>
          <w:rtl w:val="0"/>
          <w:lang w:val="en-US"/>
        </w:rPr>
        <w:t xml:space="preserve"> https://guide.highbyte.com/setup/open_telemetry/</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"https://guide.highbyte.com/setup/open_telemetry/"</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https://guide.highbyte.com/setup/open_telemetry/</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"https://github.com/hivemq/hivemq-file-rbac-extension"</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[87]</w:t>
      </w:r>
      <w:r>
        <w:rPr>
          <w:rFonts w:ascii="Times Roman" w:cs="Times Roman" w:hAnsi="Times Roman" w:eastAsia="Times Roman"/>
          <w:rtl w:val="0"/>
        </w:rPr>
        <w:fldChar w:fldCharType="end" w:fldLock="0"/>
      </w:r>
      <w:r>
        <w:rPr>
          <w:rFonts w:ascii="Times Roman" w:hAnsi="Times Roman"/>
          <w:rtl w:val="0"/>
          <w:lang w:val="en-US"/>
        </w:rPr>
        <w:t xml:space="preserve"> https://github.com/hivemq/hivemq-file-rbac-extension</w:t>
      </w:r>
    </w:p>
    <w:p>
      <w:pPr>
        <w:pStyle w:val="Default"/>
        <w:bidi w:val="0"/>
        <w:spacing w:before="0" w:line="240" w:lineRule="auto"/>
        <w:ind w:left="0" w:right="0" w:firstLine="0"/>
        <w:jc w:val="left"/>
        <w:rPr>
          <w:rStyle w:val="None"/>
          <w:rFonts w:ascii="Times Roman" w:cs="Times Roman" w:hAnsi="Times Roman" w:eastAsia="Times Roman"/>
          <w:outline w:val="0"/>
          <w:color w:val="000000"/>
          <w:u w:val="none"/>
          <w:rtl w:val="0"/>
          <w14:textFill>
            <w14:solidFill>
              <w14:srgbClr w14:val="000000"/>
            </w14:solidFill>
          </w14:textFill>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"https://github.com/hivemq/hivemq-file-rbac-extension"</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https://github.com/hivemq/hivemq-file-rbac-extension</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"https://www.docs.inductiveautomation.com/docs/8.1/platform/ignition-redundancy"</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pt-PT"/>
        </w:rPr>
        <w:t>[89]</w:t>
      </w:r>
      <w:r>
        <w:rPr>
          <w:rFonts w:ascii="Times Roman" w:cs="Times Roman" w:hAnsi="Times Roman" w:eastAsia="Times Roman"/>
          <w:rtl w:val="0"/>
        </w:rPr>
        <w:fldChar w:fldCharType="end" w:fldLock="0"/>
      </w:r>
      <w:r>
        <w:rPr>
          <w:rFonts w:ascii="Times Roman" w:hAnsi="Times Roman"/>
          <w:rtl w:val="0"/>
          <w:lang w:val="en-US"/>
        </w:rPr>
        <w:t xml:space="preserve"> https://www.docs.inductiveautomation.com/docs/8.1/platform/ignition-redundancy</w:t>
      </w:r>
    </w:p>
    <w:p>
      <w:pPr>
        <w:pStyle w:val="Default"/>
        <w:bidi w:val="0"/>
        <w:spacing w:before="0" w:line="240" w:lineRule="auto"/>
        <w:ind w:left="0" w:right="0" w:firstLine="0"/>
        <w:jc w:val="left"/>
        <w:rPr>
          <w:rtl w:val="0"/>
        </w:rPr>
      </w:pP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begin" w:fldLock="0"/>
      </w:r>
      <w:r>
        <w:rPr>
          <w:rStyle w:val="Hyperlink.1"/>
          <w:rFonts w:ascii="Times Roman" w:cs="Times Roman" w:hAnsi="Times Roman" w:eastAsia="Times Roman"/>
          <w:outline w:val="0"/>
          <w:color w:val="4f81bd"/>
          <w:u w:val="single" w:color="4f81bd"/>
          <w:rtl w:val="0"/>
          <w14:textFill>
            <w14:solidFill>
              <w14:srgbClr w14:val="4F81BD"/>
            </w14:solidFill>
          </w14:textFill>
        </w:rPr>
        <w:instrText xml:space="preserve"> HYPERLINK "https://www.docs.inductiveautomation.com/docs/8.1/platform/ignition-redundancy"</w:instrText>
      </w:r>
      <w:r>
        <w:rPr>
          <w:rStyle w:val="Hyperlink.1"/>
          <w:rFonts w:ascii="Times Roman" w:cs="Times Roman" w:hAnsi="Times Roman" w:eastAsia="Times Roman"/>
          <w:outline w:val="0"/>
          <w:color w:val="4f81bd"/>
          <w:u w:val="single" w:color="4f81bd"/>
          <w:rtl w:val="0"/>
          <w14:textFill>
            <w14:solidFill>
              <w14:srgbClr w14:val="4F81BD"/>
            </w14:solidFill>
          </w14:textFill>
        </w:rPr>
        <w:fldChar w:fldCharType="separate" w:fldLock="0"/>
      </w:r>
      <w:r>
        <w:rPr>
          <w:rStyle w:val="Hyperlink.1"/>
          <w:rFonts w:ascii="Times Roman" w:hAnsi="Times Roman"/>
          <w:outline w:val="0"/>
          <w:color w:val="4f81bd"/>
          <w:u w:val="single" w:color="4f81bd"/>
          <w:rtl w:val="0"/>
          <w:lang w:val="en-US"/>
          <w14:textFill>
            <w14:solidFill>
              <w14:srgbClr w14:val="4F81BD"/>
            </w14:solidFill>
          </w14:textFill>
        </w:rPr>
        <w:t>https://www.docs.inductiveautomation.com/docs/8.1/platform/ignition-redundancy</w:t>
      </w:r>
      <w:r>
        <w:rPr>
          <w:rFonts w:ascii="Times Roman" w:cs="Times Roman" w:hAnsi="Times Roman" w:eastAsia="Times Roman"/>
          <w:outline w:val="0"/>
          <w:color w:val="0000ee"/>
          <w:u w:val="single"/>
          <w:rtl w:val="0"/>
          <w14:textFill>
            <w14:solidFill>
              <w14:srgbClr w14:val="0000EE"/>
            </w14:solidFill>
          </w14:textFill>
        </w:rPr>
        <w:fldChar w:fldCharType="end" w:fldLock="0"/>
      </w:r>
      <w:r>
        <w:rPr>
          <w:rStyle w:val="None"/>
          <w:rFonts w:ascii="Times Roman" w:cs="Times Roman" w:hAnsi="Times Roman" w:eastAsia="Times Roman"/>
          <w:outline w:val="0"/>
          <w:color w:val="000000"/>
          <w:u w:val="none"/>
          <w:rtl w:val="0"/>
          <w14:textFill>
            <w14:solidFill>
              <w14:srgbClr w14:val="000000"/>
            </w14:solidFill>
          </w14:textFill>
        </w:rPr>
      </w:r>
      <w:bookmarkEnd w:id="0"/>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 w:type="numbering" w:styleId="Bullets">
    <w:name w:val="Bullets"/>
    <w:pPr>
      <w:numPr>
        <w:numId w:val="1"/>
      </w:numPr>
    </w:pPr>
  </w:style>
  <w:style w:type="character" w:styleId="Hyperlink.1">
    <w:name w:val="Hyperlink.1"/>
    <w:basedOn w:val="Hyperlink"/>
    <w:next w:val="Hyperlink.1"/>
    <w:rPr>
      <w:outline w:val="0"/>
      <w:color w:val="4f81bd"/>
      <w:u w:val="single" w:color="4f81bd"/>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