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ec013577a773086480671b37eb3df97e50bfb9b"/>
    <w:p>
      <w:pPr>
        <w:pStyle w:val="Heading1"/>
      </w:pPr>
      <w:r>
        <w:t xml:space="preserve">Secure, Scalable Connected-Worker Platform for Regulated Biologics Manufacturing</w:t>
      </w:r>
    </w:p>
    <w:bookmarkStart w:id="25" w:name="executive-summary"/>
    <w:p>
      <w:pPr>
        <w:pStyle w:val="Heading2"/>
      </w:pPr>
      <w:r>
        <w:t xml:space="preserve">Executive summary</w:t>
      </w:r>
    </w:p>
    <w:p>
      <w:pPr>
        <w:pStyle w:val="FirstParagraph"/>
      </w:pPr>
      <w:r>
        <w:t xml:space="preserve">This solution document designs a connected-worker platform for regulated biologics manufacturing where</w:t>
      </w:r>
      <w:r>
        <w:t xml:space="preserve"> </w:t>
      </w:r>
      <w:r>
        <w:rPr>
          <w:b/>
          <w:bCs/>
        </w:rPr>
        <w:t xml:space="preserve">(a)</w:t>
      </w:r>
      <w:r>
        <w:t xml:space="preserve"> </w:t>
      </w:r>
      <w:r>
        <w:t xml:space="preserve">existing “original” GxP data remains authoritative in its</w:t>
      </w:r>
      <w:r>
        <w:t xml:space="preserve"> </w:t>
      </w:r>
      <w:r>
        <w:rPr>
          <w:b/>
          <w:bCs/>
        </w:rPr>
        <w:t xml:space="preserve">source system(s) of record</w:t>
      </w:r>
      <w:r>
        <w:t xml:space="preserve"> </w:t>
      </w:r>
      <w:r>
        <w:t xml:space="preserve">and</w:t>
      </w:r>
      <w:r>
        <w:t xml:space="preserve"> </w:t>
      </w:r>
      <w:r>
        <w:rPr>
          <w:b/>
          <w:bCs/>
        </w:rPr>
        <w:t xml:space="preserve">(b)</w:t>
      </w:r>
      <w:r>
        <w:t xml:space="preserve"> </w:t>
      </w:r>
      <w:r>
        <w:t xml:space="preserve">any</w:t>
      </w:r>
      <w:r>
        <w:t xml:space="preserve"> </w:t>
      </w:r>
      <w:r>
        <w:rPr>
          <w:b/>
          <w:bCs/>
        </w:rPr>
        <w:t xml:space="preserve">new data captured</w:t>
      </w:r>
      <w:r>
        <w:t xml:space="preserve"> </w:t>
      </w:r>
      <w:r>
        <w:t xml:space="preserve">through connected-worker workflows is</w:t>
      </w:r>
      <w:r>
        <w:t xml:space="preserve"> </w:t>
      </w:r>
      <w:r>
        <w:rPr>
          <w:b/>
          <w:bCs/>
        </w:rPr>
        <w:t xml:space="preserve">committed to the appropriate target system(s) of record</w:t>
      </w:r>
      <w:r>
        <w:t xml:space="preserve"> </w:t>
      </w:r>
      <w:r>
        <w:t xml:space="preserve">(e.g., MES, QMS, LIMS, EAMS), not stored as “the record” inside the connected-worker platform. The design aligns with data integrity expectations (ALCOA+), risk-based lifecycle control, and validated-state operation emphasized across GMP computerized-system guidance.</w:t>
      </w:r>
      <w:r>
        <w:t xml:space="preserve"> </w:t>
      </w:r>
      <w:hyperlink r:id="rId21">
        <w:r>
          <w:rPr>
            <w:rStyle w:val="Hyperlink"/>
          </w:rPr>
          <w:t xml:space="preserve">[1]</w:t>
        </w:r>
      </w:hyperlink>
    </w:p>
    <w:p>
      <w:pPr>
        <w:pStyle w:val="BodyText"/>
      </w:pPr>
      <w:r>
        <w:t xml:space="preserve">Regulatory posture: this architecture assumes the platform will create or manage</w:t>
      </w:r>
      <w:r>
        <w:t xml:space="preserve"> </w:t>
      </w:r>
      <w:r>
        <w:rPr>
          <w:b/>
          <w:bCs/>
        </w:rPr>
        <w:t xml:space="preserve">GxP-relevant electronic records and/or electronic signatures</w:t>
      </w:r>
      <w:r>
        <w:t xml:space="preserve">, so controls must satisfy</w:t>
      </w:r>
      <w:r>
        <w:t xml:space="preserve"> </w:t>
      </w:r>
      <w:r>
        <w:rPr>
          <w:b/>
          <w:bCs/>
        </w:rPr>
        <w:t xml:space="preserve">21 CFR Part 11</w:t>
      </w:r>
      <w:r>
        <w:t xml:space="preserve"> </w:t>
      </w:r>
      <w:r>
        <w:t xml:space="preserve">requirements (for electronic records/signatures) as well as EU computerized-systems expectations (e.g., validation/qualification, audit trails, access control, change control, periodic review).</w:t>
      </w:r>
      <w:r>
        <w:t xml:space="preserve"> </w:t>
      </w:r>
      <w:hyperlink r:id="rId22">
        <w:r>
          <w:rPr>
            <w:rStyle w:val="Hyperlink"/>
          </w:rPr>
          <w:t xml:space="preserve">[2]</w:t>
        </w:r>
      </w:hyperlink>
      <w:r>
        <w:t xml:space="preserve"> </w:t>
      </w:r>
      <w:r>
        <w:t xml:space="preserve">The design explicitly supports: auditability, signature/record linkage, controlled access, traceable changes, secure retention, and the ability to reproduce/inspect records over their retention period.</w:t>
      </w:r>
      <w:r>
        <w:t xml:space="preserve"> </w:t>
      </w:r>
      <w:hyperlink r:id="rId23">
        <w:r>
          <w:rPr>
            <w:rStyle w:val="Hyperlink"/>
          </w:rPr>
          <w:t xml:space="preserve">[3]</w:t>
        </w:r>
      </w:hyperlink>
    </w:p>
    <w:p>
      <w:pPr>
        <w:pStyle w:val="BodyText"/>
      </w:pPr>
      <w:r>
        <w:t xml:space="preserve">Key architectural choice: implement the connected-worker platform as an</w:t>
      </w:r>
      <w:r>
        <w:t xml:space="preserve"> </w:t>
      </w:r>
      <w:r>
        <w:rPr>
          <w:b/>
          <w:bCs/>
        </w:rPr>
        <w:t xml:space="preserve">orchestration + policy enforcement + user experience layer</w:t>
      </w:r>
      <w:r>
        <w:t xml:space="preserve">, with</w:t>
      </w:r>
      <w:r>
        <w:t xml:space="preserve"> </w:t>
      </w:r>
      <w:r>
        <w:rPr>
          <w:b/>
          <w:bCs/>
        </w:rPr>
        <w:t xml:space="preserve">integration services</w:t>
      </w:r>
      <w:r>
        <w:t xml:space="preserve"> </w:t>
      </w:r>
      <w:r>
        <w:t xml:space="preserve">that (1) read authoritative data via governed interfaces and (2) write back new records through controlled transactions into the correct system(s) of record, preserving provenance and ensuring “source truth” remains in place. This is consistent with lifecycle risk management and data integrity guidance emphasizing trustworthy data throughout its lifecycle.</w:t>
      </w:r>
      <w:r>
        <w:t xml:space="preserve"> </w:t>
      </w:r>
      <w:hyperlink r:id="rId21">
        <w:r>
          <w:rPr>
            <w:rStyle w:val="Hyperlink"/>
          </w:rPr>
          <w:t xml:space="preserve">[4]</w:t>
        </w:r>
      </w:hyperlink>
    </w:p>
    <w:p>
      <w:pPr>
        <w:pStyle w:val="BodyText"/>
      </w:pPr>
      <w:r>
        <w:t xml:space="preserve">On ontology (MDM vs knowledge graph): a</w:t>
      </w:r>
      <w:r>
        <w:t xml:space="preserve"> </w:t>
      </w:r>
      <w:r>
        <w:rPr>
          <w:b/>
          <w:bCs/>
        </w:rPr>
        <w:t xml:space="preserve">lightweight registry-style MDM pattern</w:t>
      </w:r>
      <w:r>
        <w:t xml:space="preserve"> </w:t>
      </w:r>
      <w:r>
        <w:t xml:space="preserve">and/or a</w:t>
      </w:r>
      <w:r>
        <w:t xml:space="preserve"> </w:t>
      </w:r>
      <w:r>
        <w:rPr>
          <w:b/>
          <w:bCs/>
        </w:rPr>
        <w:t xml:space="preserve">knowledge graph-based semantic layer</w:t>
      </w:r>
      <w:r>
        <w:t xml:space="preserve"> </w:t>
      </w:r>
      <w:r>
        <w:t xml:space="preserve">can materially reduce cross-system friction by providing consistent identifiers, relationships, and lineage</w:t>
      </w:r>
      <w:r>
        <w:t xml:space="preserve"> </w:t>
      </w:r>
      <w:r>
        <w:rPr>
          <w:i/>
          <w:iCs/>
        </w:rPr>
        <w:t xml:space="preserve">without becoming a new system of record</w:t>
      </w:r>
      <w:r>
        <w:t xml:space="preserve">. A knowledge graph is particularly strong for</w:t>
      </w:r>
      <w:r>
        <w:t xml:space="preserve"> </w:t>
      </w:r>
      <w:r>
        <w:rPr>
          <w:b/>
          <w:bCs/>
        </w:rPr>
        <w:t xml:space="preserve">contextual relationships</w:t>
      </w:r>
      <w:r>
        <w:t xml:space="preserve"> </w:t>
      </w:r>
      <w:r>
        <w:t xml:space="preserve">(batch–lot–equipment–calibration–deviation–sample–result) and provenance modeling; a registry MDM pattern is strongest for</w:t>
      </w:r>
      <w:r>
        <w:t xml:space="preserve"> </w:t>
      </w:r>
      <w:r>
        <w:rPr>
          <w:b/>
          <w:bCs/>
        </w:rPr>
        <w:t xml:space="preserve">identifier harmonization</w:t>
      </w:r>
      <w:r>
        <w:t xml:space="preserve"> </w:t>
      </w:r>
      <w:r>
        <w:t xml:space="preserve">and cross-reference mapping. Both can be designed as</w:t>
      </w:r>
      <w:r>
        <w:t xml:space="preserve"> </w:t>
      </w:r>
      <w:r>
        <w:rPr>
          <w:b/>
          <w:bCs/>
        </w:rPr>
        <w:t xml:space="preserve">derived, reference-by-link</w:t>
      </w:r>
      <w:r>
        <w:t xml:space="preserve"> </w:t>
      </w:r>
      <w:r>
        <w:t xml:space="preserve">(not authoritative storage), using provenance constructs and constraints validation.</w:t>
      </w:r>
      <w:r>
        <w:t xml:space="preserve"> </w:t>
      </w:r>
      <w:hyperlink r:id="rId24">
        <w:r>
          <w:rPr>
            <w:rStyle w:val="Hyperlink"/>
          </w:rPr>
          <w:t xml:space="preserve">[5]</w:t>
        </w:r>
      </w:hyperlink>
    </w:p>
    <w:bookmarkEnd w:id="25"/>
    <w:bookmarkStart w:id="32" w:name="X5c97e0bd2b41a793aed1b5285f72d15281c0624"/>
    <w:p>
      <w:pPr>
        <w:pStyle w:val="Heading2"/>
      </w:pPr>
      <w:r>
        <w:t xml:space="preserve">Scope, assumptions, and clarifying questions</w:t>
      </w:r>
    </w:p>
    <w:bookmarkStart w:id="26" w:name="scope-boundary"/>
    <w:p>
      <w:pPr>
        <w:pStyle w:val="Heading3"/>
      </w:pPr>
      <w:r>
        <w:t xml:space="preserve">Scope boundary</w:t>
      </w:r>
    </w:p>
    <w:p>
      <w:pPr>
        <w:pStyle w:val="FirstParagraph"/>
      </w:pPr>
      <w:r>
        <w:t xml:space="preserve">The connected-worker platform includes:</w:t>
      </w:r>
      <w:r>
        <w:t xml:space="preserve"> </w:t>
      </w:r>
      <w:r>
        <w:t xml:space="preserve">- Worker-facing UX (mobile/handheld/wearable), task/procedure execution, guided workflows, and capture of observations/measurements/signatures.</w:t>
      </w:r>
      <w:r>
        <w:t xml:space="preserve"> </w:t>
      </w:r>
      <w:r>
        <w:t xml:space="preserve">- Integration layer (APIs, events, middleware) that enforces read/write segregation and provenance.</w:t>
      </w:r>
      <w:r>
        <w:t xml:space="preserve"> </w:t>
      </w:r>
      <w:r>
        <w:t xml:space="preserve">- Security, compliance, validation, operations, and deployment models appropriate for GMP computerized systems.</w:t>
      </w:r>
      <w:r>
        <w:t xml:space="preserve"> </w:t>
      </w:r>
      <w:hyperlink r:id="rId21">
        <w:r>
          <w:rPr>
            <w:rStyle w:val="Hyperlink"/>
          </w:rPr>
          <w:t xml:space="preserve">[6]</w:t>
        </w:r>
      </w:hyperlink>
    </w:p>
    <w:bookmarkEnd w:id="26"/>
    <w:bookmarkStart w:id="29" w:name="assumptions"/>
    <w:p>
      <w:pPr>
        <w:pStyle w:val="Heading3"/>
      </w:pPr>
      <w:r>
        <w:t xml:space="preserve">Assumptions</w:t>
      </w:r>
    </w:p>
    <w:p>
      <w:pPr>
        <w:pStyle w:val="Compact"/>
        <w:numPr>
          <w:ilvl w:val="0"/>
          <w:numId w:val="1001"/>
        </w:numPr>
      </w:pPr>
      <w:r>
        <w:rPr>
          <w:b/>
          <w:bCs/>
        </w:rPr>
        <w:t xml:space="preserve">Systems of record and their exact vendors/versions are unspecified.</w:t>
      </w:r>
    </w:p>
    <w:p>
      <w:pPr>
        <w:pStyle w:val="Compact"/>
        <w:numPr>
          <w:ilvl w:val="0"/>
          <w:numId w:val="1001"/>
        </w:numPr>
      </w:pPr>
      <w:r>
        <w:t xml:space="preserve">The platform will operate in environments subject to</w:t>
      </w:r>
      <w:r>
        <w:t xml:space="preserve"> </w:t>
      </w:r>
      <w:r>
        <w:rPr>
          <w:b/>
          <w:bCs/>
        </w:rPr>
        <w:t xml:space="preserve">United States</w:t>
      </w:r>
      <w:hyperlink r:id="rId27">
        <w:r>
          <w:rPr>
            <w:rStyle w:val="Hyperlink"/>
            <w:b/>
            <w:bCs/>
          </w:rPr>
          <w:t xml:space="preserve">[7]</w:t>
        </w:r>
      </w:hyperlink>
      <w:r>
        <w:t xml:space="preserve"> </w:t>
      </w:r>
      <w:r>
        <w:t xml:space="preserve">requirements (e.g., 21 CFR Parts 11/210/211) and may also be subject to EU/UK expectations (Annex 11-style computerized systems guidance).</w:t>
      </w:r>
      <w:r>
        <w:t xml:space="preserve"> </w:t>
      </w:r>
      <w:hyperlink r:id="rId28">
        <w:r>
          <w:rPr>
            <w:rStyle w:val="Hyperlink"/>
          </w:rPr>
          <w:t xml:space="preserve">[8]</w:t>
        </w:r>
      </w:hyperlink>
    </w:p>
    <w:p>
      <w:pPr>
        <w:pStyle w:val="Compact"/>
        <w:numPr>
          <w:ilvl w:val="0"/>
          <w:numId w:val="1001"/>
        </w:numPr>
      </w:pPr>
      <w:r>
        <w:t xml:space="preserve">The connected-worker platform may create GxP records; therefore audit trails, controlled access, and e-signatures are treated as</w:t>
      </w:r>
      <w:r>
        <w:t xml:space="preserve"> </w:t>
      </w:r>
      <w:r>
        <w:rPr>
          <w:b/>
          <w:bCs/>
        </w:rPr>
        <w:t xml:space="preserve">in-scope</w:t>
      </w:r>
      <w:r>
        <w:t xml:space="preserve"> </w:t>
      </w:r>
      <w:r>
        <w:t xml:space="preserve">controls.</w:t>
      </w:r>
      <w:r>
        <w:t xml:space="preserve"> </w:t>
      </w:r>
      <w:hyperlink r:id="rId23">
        <w:r>
          <w:rPr>
            <w:rStyle w:val="Hyperlink"/>
          </w:rPr>
          <w:t xml:space="preserve">[9]</w:t>
        </w:r>
      </w:hyperlink>
    </w:p>
    <w:bookmarkEnd w:id="29"/>
    <w:bookmarkStart w:id="31" w:name="clarifying-questions"/>
    <w:p>
      <w:pPr>
        <w:pStyle w:val="Heading3"/>
      </w:pPr>
      <w:r>
        <w:t xml:space="preserve">Clarifying questions</w:t>
      </w:r>
    </w:p>
    <w:p>
      <w:pPr>
        <w:pStyle w:val="Compact"/>
        <w:numPr>
          <w:ilvl w:val="0"/>
          <w:numId w:val="1002"/>
        </w:numPr>
      </w:pPr>
      <w:r>
        <w:t xml:space="preserve">Which manufacturing use cases are in scope (e.g., electronic batch execution, line clearance, sampling, maintenance, deviations/CAPA, training verification)? (unspecified)</w:t>
      </w:r>
    </w:p>
    <w:p>
      <w:pPr>
        <w:pStyle w:val="Compact"/>
        <w:numPr>
          <w:ilvl w:val="0"/>
          <w:numId w:val="1002"/>
        </w:numPr>
      </w:pPr>
      <w:r>
        <w:t xml:space="preserve">Which systems are authoritative for each record class at your site(s) (e.g., “deviation” in QMS, “maintenance execution” in EAMS, “batch step sign-off” in MES)? (unspecified)</w:t>
      </w:r>
    </w:p>
    <w:p>
      <w:pPr>
        <w:pStyle w:val="Compact"/>
        <w:numPr>
          <w:ilvl w:val="0"/>
          <w:numId w:val="1002"/>
        </w:numPr>
      </w:pPr>
      <w:r>
        <w:t xml:space="preserve">Do any workflows require</w:t>
      </w:r>
      <w:r>
        <w:t xml:space="preserve"> </w:t>
      </w:r>
      <w:r>
        <w:rPr>
          <w:b/>
          <w:bCs/>
        </w:rPr>
        <w:t xml:space="preserve">offline mode</w:t>
      </w:r>
      <w:r>
        <w:t xml:space="preserve"> </w:t>
      </w:r>
      <w:r>
        <w:t xml:space="preserve">on the shop floor? If yes, which record classes and what maximum offline duration is permitted? (unspecified)</w:t>
      </w:r>
    </w:p>
    <w:p>
      <w:pPr>
        <w:pStyle w:val="Compact"/>
        <w:numPr>
          <w:ilvl w:val="0"/>
          <w:numId w:val="1002"/>
        </w:numPr>
      </w:pPr>
      <w:r>
        <w:t xml:space="preserve">What are the integration capabilities and constraints of each system of record (REST/SOAP, OPC UA, file drops, message bus, database access, vendor gateways)? (unspecified)</w:t>
      </w:r>
    </w:p>
    <w:p>
      <w:pPr>
        <w:pStyle w:val="Compact"/>
        <w:numPr>
          <w:ilvl w:val="0"/>
          <w:numId w:val="1002"/>
        </w:numPr>
      </w:pPr>
      <w:r>
        <w:t xml:space="preserve">Is there an existing enterprise integration backbone (ESB/iPaaS/event streaming) and enterprise API gateway? (unspecified)</w:t>
      </w:r>
    </w:p>
    <w:p>
      <w:pPr>
        <w:pStyle w:val="Compact"/>
        <w:numPr>
          <w:ilvl w:val="0"/>
          <w:numId w:val="1002"/>
        </w:numPr>
      </w:pPr>
      <w:r>
        <w:t xml:space="preserve">Identity architecture: central IdP, MFA method(s), identity proofing strength requirements, contractor handling, shared devices? (unspecified)</w:t>
      </w:r>
      <w:r>
        <w:t xml:space="preserve"> </w:t>
      </w:r>
      <w:hyperlink r:id="rId27">
        <w:r>
          <w:rPr>
            <w:rStyle w:val="Hyperlink"/>
          </w:rPr>
          <w:t xml:space="preserve">[10]</w:t>
        </w:r>
      </w:hyperlink>
    </w:p>
    <w:p>
      <w:pPr>
        <w:pStyle w:val="Compact"/>
        <w:numPr>
          <w:ilvl w:val="0"/>
          <w:numId w:val="1002"/>
        </w:numPr>
      </w:pPr>
      <w:r>
        <w:t xml:space="preserve">OT/IT network segmentation model, availability of DMZ, and permitted inbound/outbound flows from manufacturing zones? (unspecified)</w:t>
      </w:r>
      <w:r>
        <w:t xml:space="preserve"> </w:t>
      </w:r>
      <w:hyperlink r:id="rId30">
        <w:r>
          <w:rPr>
            <w:rStyle w:val="Hyperlink"/>
          </w:rPr>
          <w:t xml:space="preserve">[11]</w:t>
        </w:r>
      </w:hyperlink>
    </w:p>
    <w:p>
      <w:pPr>
        <w:pStyle w:val="Compact"/>
        <w:numPr>
          <w:ilvl w:val="0"/>
          <w:numId w:val="1002"/>
        </w:numPr>
      </w:pPr>
      <w:r>
        <w:t xml:space="preserve">Target SLOs and DR objectives (RTO/RPO), and whether multi-region is required. (unspecified)</w:t>
      </w:r>
    </w:p>
    <w:p>
      <w:pPr>
        <w:pStyle w:val="Compact"/>
        <w:numPr>
          <w:ilvl w:val="0"/>
          <w:numId w:val="1002"/>
        </w:numPr>
      </w:pPr>
      <w:r>
        <w:t xml:space="preserve">Data residency constraints (countries/regions) and retention schedule by record type (predicate rules). (unspecified)</w:t>
      </w:r>
      <w:r>
        <w:t xml:space="preserve"> </w:t>
      </w:r>
      <w:hyperlink r:id="rId28">
        <w:r>
          <w:rPr>
            <w:rStyle w:val="Hyperlink"/>
          </w:rPr>
          <w:t xml:space="preserve">[12]</w:t>
        </w:r>
      </w:hyperlink>
    </w:p>
    <w:p>
      <w:pPr>
        <w:pStyle w:val="Compact"/>
        <w:numPr>
          <w:ilvl w:val="0"/>
          <w:numId w:val="1002"/>
        </w:numPr>
      </w:pPr>
      <w:r>
        <w:t xml:space="preserve">Validation approach preferences (CSV vs CSA-style risk-based assurance), and whether the platform will be categorized as configurable COTS vs custom. (unspecified)</w:t>
      </w:r>
      <w:r>
        <w:t xml:space="preserve"> </w:t>
      </w:r>
      <w:hyperlink r:id="rId21">
        <w:r>
          <w:rPr>
            <w:rStyle w:val="Hyperlink"/>
          </w:rPr>
          <w:t xml:space="preserve">[13]</w:t>
        </w:r>
      </w:hyperlink>
    </w:p>
    <w:bookmarkEnd w:id="31"/>
    <w:bookmarkEnd w:id="32"/>
    <w:bookmarkStart w:id="42" w:name="Xff7e76e4485562c0124cc54c1bd0c41b8e598e2"/>
    <w:p>
      <w:pPr>
        <w:pStyle w:val="Heading2"/>
      </w:pPr>
      <w:r>
        <w:t xml:space="preserve">Systems of record, data ownership, and authoritative data strategy</w:t>
      </w:r>
    </w:p>
    <w:bookmarkStart w:id="37" w:name="X955e23a264e0fba38b83ac2acf1369aca5a32f5"/>
    <w:p>
      <w:pPr>
        <w:pStyle w:val="Heading3"/>
      </w:pPr>
      <w:r>
        <w:t xml:space="preserve">System-of-record inventory and ownership patterns</w:t>
      </w:r>
    </w:p>
    <w:p>
      <w:pPr>
        <w:pStyle w:val="FirstParagraph"/>
      </w:pPr>
      <w:r>
        <w:t xml:space="preserve">A practical inventory aligns to the ISA-95 layering model (enterprise ↔ manufacturing operations ↔ control), then maps each record class to one accountable</w:t>
      </w:r>
      <w:r>
        <w:t xml:space="preserve"> </w:t>
      </w:r>
      <w:r>
        <w:rPr>
          <w:b/>
          <w:bCs/>
        </w:rPr>
        <w:t xml:space="preserve">Process Owner / System Owner</w:t>
      </w:r>
      <w:r>
        <w:t xml:space="preserve"> </w:t>
      </w:r>
      <w:r>
        <w:t xml:space="preserve">and a “quality impact” classification. ISA-95 explicitly frames enterprise-to-control integration and interface boundaries.</w:t>
      </w:r>
      <w:r>
        <w:t xml:space="preserve"> </w:t>
      </w:r>
      <w:hyperlink r:id="rId33">
        <w:r>
          <w:rPr>
            <w:rStyle w:val="Hyperlink"/>
          </w:rPr>
          <w:t xml:space="preserve">[14]</w:t>
        </w:r>
      </w:hyperlink>
    </w:p>
    <w:p>
      <w:pPr>
        <w:pStyle w:val="BodyText"/>
      </w:pPr>
      <w:r>
        <w:rPr>
          <w:b/>
          <w:bCs/>
        </w:rPr>
        <w:t xml:space="preserve">Typical biologics manufacturing systems-of-record (site-specific ownership is unspecified):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 of record</w:t>
            </w:r>
          </w:p>
        </w:tc>
        <w:tc>
          <w:tcPr/>
          <w:p>
            <w:pPr>
              <w:pStyle w:val="Compact"/>
            </w:pPr>
            <w:r>
              <w:t xml:space="preserve">Primary “authoritative” record classes (examples)</w:t>
            </w:r>
          </w:p>
        </w:tc>
        <w:tc>
          <w:tcPr/>
          <w:p>
            <w:pPr>
              <w:pStyle w:val="Compact"/>
            </w:pPr>
            <w:r>
              <w:t xml:space="preserve">Typical ownership pattern</w:t>
            </w:r>
          </w:p>
        </w:tc>
        <w:tc>
          <w:tcPr/>
          <w:p>
            <w:pPr>
              <w:pStyle w:val="Compact"/>
            </w:pPr>
            <w:r>
              <w:t xml:space="preserve">Notes for connected-worker design</w:t>
            </w:r>
          </w:p>
        </w:tc>
      </w:tr>
      <w:tr>
        <w:tc>
          <w:tcPr/>
          <w:p>
            <w:pPr>
              <w:pStyle w:val="Compact"/>
            </w:pPr>
            <w:r>
              <w:t xml:space="preserve">ERP</w:t>
            </w:r>
          </w:p>
        </w:tc>
        <w:tc>
          <w:tcPr/>
          <w:p>
            <w:pPr>
              <w:pStyle w:val="Compact"/>
            </w:pPr>
            <w:r>
              <w:t xml:space="preserve">materials master, inventory, purchasing, lots/serialization, costing</w:t>
            </w:r>
          </w:p>
        </w:tc>
        <w:tc>
          <w:tcPr/>
          <w:p>
            <w:pPr>
              <w:pStyle w:val="Compact"/>
            </w:pPr>
            <w:r>
              <w:t xml:space="preserve">Business + QA governance (unspecified)</w:t>
            </w:r>
          </w:p>
        </w:tc>
        <w:tc>
          <w:tcPr/>
          <w:p>
            <w:pPr>
              <w:pStyle w:val="Compact"/>
            </w:pPr>
            <w:r>
              <w:t xml:space="preserve">Prefer read-only consumption for work execution; write-back usually via controlled transactions/work confirmations.</w:t>
            </w:r>
          </w:p>
        </w:tc>
      </w:tr>
      <w:tr>
        <w:tc>
          <w:tcPr/>
          <w:p>
            <w:pPr>
              <w:pStyle w:val="Compact"/>
            </w:pPr>
            <w:r>
              <w:t xml:space="preserve">MES</w:t>
            </w:r>
          </w:p>
        </w:tc>
        <w:tc>
          <w:tcPr/>
          <w:p>
            <w:pPr>
              <w:pStyle w:val="Compact"/>
            </w:pPr>
            <w:r>
              <w:t xml:space="preserve">batch execution records, eBR, equipment usage, step sign-offs</w:t>
            </w:r>
          </w:p>
        </w:tc>
        <w:tc>
          <w:tcPr/>
          <w:p>
            <w:pPr>
              <w:pStyle w:val="Compact"/>
            </w:pPr>
            <w:r>
              <w:t xml:space="preserve">Manufacturing + QA (unspecified)</w:t>
            </w:r>
          </w:p>
        </w:tc>
        <w:tc>
          <w:tcPr/>
          <w:p>
            <w:pPr>
              <w:pStyle w:val="Compact"/>
            </w:pPr>
            <w:r>
              <w:t xml:space="preserve">High Part 11 / audit trail expectations for electronic records/signatures; treat MES as authoritative for batch records.</w:t>
            </w:r>
            <w:r>
              <w:t xml:space="preserve"> </w:t>
            </w:r>
            <w:hyperlink r:id="rId34">
              <w:r>
                <w:rPr>
                  <w:rStyle w:val="Hyperlink"/>
                </w:rPr>
                <w:t xml:space="preserve">[15]</w:t>
              </w:r>
            </w:hyperlink>
          </w:p>
        </w:tc>
      </w:tr>
      <w:tr>
        <w:tc>
          <w:tcPr/>
          <w:p>
            <w:pPr>
              <w:pStyle w:val="Compact"/>
            </w:pPr>
            <w:r>
              <w:t xml:space="preserve">Historian/PI</w:t>
            </w:r>
          </w:p>
        </w:tc>
        <w:tc>
          <w:tcPr/>
          <w:p>
            <w:pPr>
              <w:pStyle w:val="Compact"/>
            </w:pPr>
            <w:r>
              <w:t xml:space="preserve">time-series process data, alarms, events</w:t>
            </w:r>
          </w:p>
        </w:tc>
        <w:tc>
          <w:tcPr/>
          <w:p>
            <w:pPr>
              <w:pStyle w:val="Compact"/>
            </w:pPr>
            <w:r>
              <w:t xml:space="preserve">Automation/OT (unspecified)</w:t>
            </w:r>
          </w:p>
        </w:tc>
        <w:tc>
          <w:tcPr/>
          <w:p>
            <w:pPr>
              <w:pStyle w:val="Compact"/>
            </w:pPr>
            <w:r>
              <w:t xml:space="preserve">Typically read-mostly; avoid “copying” historian as authoritative; integrate via query/event subscriptions and reference.</w:t>
            </w:r>
            <w:r>
              <w:t xml:space="preserve"> </w:t>
            </w:r>
            <w:hyperlink r:id="rId30">
              <w:r>
                <w:rPr>
                  <w:rStyle w:val="Hyperlink"/>
                </w:rPr>
                <w:t xml:space="preserve">[16]</w:t>
              </w:r>
            </w:hyperlink>
          </w:p>
        </w:tc>
      </w:tr>
      <w:tr>
        <w:tc>
          <w:tcPr/>
          <w:p>
            <w:pPr>
              <w:pStyle w:val="Compact"/>
            </w:pPr>
            <w:r>
              <w:t xml:space="preserve">QMS</w:t>
            </w:r>
          </w:p>
        </w:tc>
        <w:tc>
          <w:tcPr/>
          <w:p>
            <w:pPr>
              <w:pStyle w:val="Compact"/>
            </w:pPr>
            <w:r>
              <w:t xml:space="preserve">deviations, CAPA, change control, audits</w:t>
            </w:r>
          </w:p>
        </w:tc>
        <w:tc>
          <w:tcPr/>
          <w:p>
            <w:pPr>
              <w:pStyle w:val="Compact"/>
            </w:pPr>
            <w:r>
              <w:t xml:space="preserve">Quality (unspecified)</w:t>
            </w:r>
          </w:p>
        </w:tc>
        <w:tc>
          <w:tcPr/>
          <w:p>
            <w:pPr>
              <w:pStyle w:val="Compact"/>
            </w:pPr>
            <w:r>
              <w:t xml:space="preserve">Connected-worker should create structured “intake” events then commit into QMS as the official record.</w:t>
            </w:r>
            <w:r>
              <w:t xml:space="preserve"> </w:t>
            </w:r>
            <w:hyperlink r:id="rId21">
              <w:r>
                <w:rPr>
                  <w:rStyle w:val="Hyperlink"/>
                </w:rPr>
                <w:t xml:space="preserve">[17]</w:t>
              </w:r>
            </w:hyperlink>
          </w:p>
        </w:tc>
      </w:tr>
      <w:tr>
        <w:tc>
          <w:tcPr/>
          <w:p>
            <w:pPr>
              <w:pStyle w:val="Compact"/>
            </w:pPr>
            <w:r>
              <w:t xml:space="preserve">EAMS/CMMS</w:t>
            </w:r>
          </w:p>
        </w:tc>
        <w:tc>
          <w:tcPr/>
          <w:p>
            <w:pPr>
              <w:pStyle w:val="Compact"/>
            </w:pPr>
            <w:r>
              <w:t xml:space="preserve">work orders, maintenance execution, calibration</w:t>
            </w:r>
          </w:p>
        </w:tc>
        <w:tc>
          <w:tcPr/>
          <w:p>
            <w:pPr>
              <w:pStyle w:val="Compact"/>
            </w:pPr>
            <w:r>
              <w:t xml:space="preserve">Engineering/Maintenance + QA (unspecified)</w:t>
            </w:r>
          </w:p>
        </w:tc>
        <w:tc>
          <w:tcPr/>
          <w:p>
            <w:pPr>
              <w:pStyle w:val="Compact"/>
            </w:pPr>
            <w:r>
              <w:t xml:space="preserve">Write-back must preserve who/when/what; ensure identity mapping and signature expectations if GxP-relevant.</w:t>
            </w:r>
            <w:r>
              <w:t xml:space="preserve"> </w:t>
            </w:r>
            <w:hyperlink r:id="rId21">
              <w:r>
                <w:rPr>
                  <w:rStyle w:val="Hyperlink"/>
                </w:rPr>
                <w:t xml:space="preserve">[18]</w:t>
              </w:r>
            </w:hyperlink>
          </w:p>
        </w:tc>
      </w:tr>
      <w:tr>
        <w:tc>
          <w:tcPr/>
          <w:p>
            <w:pPr>
              <w:pStyle w:val="Compact"/>
            </w:pPr>
            <w:r>
              <w:t xml:space="preserve">LIMS</w:t>
            </w:r>
          </w:p>
        </w:tc>
        <w:tc>
          <w:tcPr/>
          <w:p>
            <w:pPr>
              <w:pStyle w:val="Compact"/>
            </w:pPr>
            <w:r>
              <w:t xml:space="preserve">sample plans, test results, CoA data</w:t>
            </w:r>
          </w:p>
        </w:tc>
        <w:tc>
          <w:tcPr/>
          <w:p>
            <w:pPr>
              <w:pStyle w:val="Compact"/>
            </w:pPr>
            <w:r>
              <w:t xml:space="preserve">QC lab (unspecified)</w:t>
            </w:r>
          </w:p>
        </w:tc>
        <w:tc>
          <w:tcPr/>
          <w:p>
            <w:pPr>
              <w:pStyle w:val="Compact"/>
            </w:pPr>
            <w:r>
              <w:t xml:space="preserve">Strict data integrity; connected-worker captures sampling metadata, chain-of-custody, then commits to LIMS.</w:t>
            </w:r>
            <w:r>
              <w:t xml:space="preserve"> </w:t>
            </w:r>
            <w:hyperlink r:id="rId35">
              <w:r>
                <w:rPr>
                  <w:rStyle w:val="Hyperlink"/>
                </w:rPr>
                <w:t xml:space="preserve">[19]</w:t>
              </w:r>
            </w:hyperlink>
          </w:p>
        </w:tc>
      </w:tr>
      <w:tr>
        <w:tc>
          <w:tcPr/>
          <w:p>
            <w:pPr>
              <w:pStyle w:val="Compact"/>
            </w:pPr>
            <w:r>
              <w:t xml:space="preserve">DMS/eDMS</w:t>
            </w:r>
          </w:p>
        </w:tc>
        <w:tc>
          <w:tcPr/>
          <w:p>
            <w:pPr>
              <w:pStyle w:val="Compact"/>
            </w:pPr>
            <w:r>
              <w:t xml:space="preserve">SOPs, controlled docs, forms</w:t>
            </w:r>
          </w:p>
        </w:tc>
        <w:tc>
          <w:tcPr/>
          <w:p>
            <w:pPr>
              <w:pStyle w:val="Compact"/>
            </w:pPr>
            <w:r>
              <w:t xml:space="preserve">Quality/Document Control (unspecified)</w:t>
            </w:r>
          </w:p>
        </w:tc>
        <w:tc>
          <w:tcPr/>
          <w:p>
            <w:pPr>
              <w:pStyle w:val="Compact"/>
            </w:pPr>
            <w:r>
              <w:t xml:space="preserve">Procedures rendered in connected-worker must be version-locked and traceable to the controlled document revision.</w:t>
            </w:r>
            <w:r>
              <w:t xml:space="preserve"> </w:t>
            </w:r>
            <w:hyperlink r:id="rId36">
              <w:r>
                <w:rPr>
                  <w:rStyle w:val="Hyperlink"/>
                </w:rPr>
                <w:t xml:space="preserve">[20]</w:t>
              </w:r>
            </w:hyperlink>
          </w:p>
        </w:tc>
      </w:tr>
    </w:tbl>
    <w:bookmarkEnd w:id="37"/>
    <w:bookmarkStart w:id="38" w:name="X1c9c3db8644690635d49ae9a965acbbd2f22372"/>
    <w:p>
      <w:pPr>
        <w:pStyle w:val="Heading3"/>
      </w:pPr>
      <w:r>
        <w:t xml:space="preserve">“Authoritative-by-link” data model and lineage</w:t>
      </w:r>
    </w:p>
    <w:p>
      <w:pPr>
        <w:pStyle w:val="FirstParagraph"/>
      </w:pPr>
      <w:r>
        <w:rPr>
          <w:b/>
          <w:bCs/>
        </w:rPr>
        <w:t xml:space="preserve">Design principle:</w:t>
      </w:r>
      <w:r>
        <w:t xml:space="preserve"> </w:t>
      </w:r>
      <w:r>
        <w:t xml:space="preserve">the connected-worker platform stores</w:t>
      </w:r>
      <w:r>
        <w:t xml:space="preserve"> </w:t>
      </w:r>
      <w:r>
        <w:rPr>
          <w:b/>
          <w:bCs/>
        </w:rPr>
        <w:t xml:space="preserve">references and provenance</w:t>
      </w:r>
      <w:r>
        <w:t xml:space="preserve">, not authoritative originals.</w:t>
      </w:r>
    </w:p>
    <w:p>
      <w:pPr>
        <w:pStyle w:val="BodyText"/>
      </w:pPr>
      <w:r>
        <w:t xml:space="preserve">Core mechanics:</w:t>
      </w:r>
      <w:r>
        <w:t xml:space="preserve"> </w:t>
      </w:r>
      <w:r>
        <w:t xml:space="preserve">-</w:t>
      </w:r>
      <w:r>
        <w:t xml:space="preserve"> </w:t>
      </w:r>
      <w:r>
        <w:rPr>
          <w:b/>
          <w:bCs/>
        </w:rPr>
        <w:t xml:space="preserve">Read model</w:t>
      </w:r>
      <w:r>
        <w:t xml:space="preserve">: cached or virtualized views (time-bounded) with immutable pointers to source record IDs and versions.</w:t>
      </w:r>
      <w:r>
        <w:t xml:space="preserve"> </w:t>
      </w:r>
      <w:r>
        <w:t xml:space="preserve">-</w:t>
      </w:r>
      <w:r>
        <w:t xml:space="preserve"> </w:t>
      </w:r>
      <w:r>
        <w:rPr>
          <w:b/>
          <w:bCs/>
        </w:rPr>
        <w:t xml:space="preserve">Write model</w:t>
      </w:r>
      <w:r>
        <w:t xml:space="preserve">: submissions are committed to target system-of-record; the platform keeps only (1) submission envelope, (2) target record ID (receipt), and (3) tamper-evident audit metadata sufficient to demonstrate integrity and reconstruction. This supports “record of changes” expectations and lifecycle integrity concepts.</w:t>
      </w:r>
      <w:r>
        <w:t xml:space="preserve"> </w:t>
      </w:r>
      <w:hyperlink r:id="rId35">
        <w:r>
          <w:rPr>
            <w:rStyle w:val="Hyperlink"/>
          </w:rPr>
          <w:t xml:space="preserve">[21]</w:t>
        </w:r>
      </w:hyperlink>
      <w:r>
        <w:t xml:space="preserve"> </w:t>
      </w:r>
      <w:r>
        <w:t xml:space="preserve">-</w:t>
      </w:r>
      <w:r>
        <w:t xml:space="preserve"> </w:t>
      </w:r>
      <w:r>
        <w:rPr>
          <w:b/>
          <w:bCs/>
        </w:rPr>
        <w:t xml:space="preserve">Provenance fields</w:t>
      </w:r>
      <w:r>
        <w:t xml:space="preserve"> </w:t>
      </w:r>
      <w:r>
        <w:t xml:space="preserve">(minimum):</w:t>
      </w:r>
      <w:r>
        <w:t xml:space="preserve"> </w:t>
      </w:r>
      <w:r>
        <w:rPr>
          <w:rStyle w:val="VerbatimChar"/>
        </w:rPr>
        <w:t xml:space="preserve">source_system</w:t>
      </w:r>
      <w:r>
        <w:t xml:space="preserve">,</w:t>
      </w:r>
      <w:r>
        <w:t xml:space="preserve"> </w:t>
      </w:r>
      <w:r>
        <w:rPr>
          <w:rStyle w:val="VerbatimChar"/>
        </w:rPr>
        <w:t xml:space="preserve">source_record_id</w:t>
      </w:r>
      <w:r>
        <w:t xml:space="preserve">,</w:t>
      </w:r>
      <w:r>
        <w:t xml:space="preserve"> </w:t>
      </w:r>
      <w:r>
        <w:rPr>
          <w:rStyle w:val="VerbatimChar"/>
        </w:rPr>
        <w:t xml:space="preserve">source_version/effective_date</w:t>
      </w:r>
      <w:r>
        <w:t xml:space="preserve">,</w:t>
      </w:r>
      <w:r>
        <w:t xml:space="preserve"> </w:t>
      </w:r>
      <w:r>
        <w:rPr>
          <w:rStyle w:val="VerbatimChar"/>
        </w:rPr>
        <w:t xml:space="preserve">user_id</w:t>
      </w:r>
      <w:r>
        <w:t xml:space="preserve">,</w:t>
      </w:r>
      <w:r>
        <w:t xml:space="preserve"> </w:t>
      </w:r>
      <w:r>
        <w:rPr>
          <w:rStyle w:val="VerbatimChar"/>
        </w:rPr>
        <w:t xml:space="preserve">device_id</w:t>
      </w:r>
      <w:r>
        <w:t xml:space="preserve">,</w:t>
      </w:r>
      <w:r>
        <w:t xml:space="preserve"> </w:t>
      </w:r>
      <w:r>
        <w:rPr>
          <w:rStyle w:val="VerbatimChar"/>
        </w:rPr>
        <w:t xml:space="preserve">timestamp(trusted)</w:t>
      </w:r>
      <w:r>
        <w:t xml:space="preserve">,</w:t>
      </w:r>
      <w:r>
        <w:t xml:space="preserve"> </w:t>
      </w:r>
      <w:r>
        <w:rPr>
          <w:rStyle w:val="VerbatimChar"/>
        </w:rPr>
        <w:t xml:space="preserve">workflow_id</w:t>
      </w:r>
      <w:r>
        <w:t xml:space="preserve">,</w:t>
      </w:r>
      <w:r>
        <w:t xml:space="preserve"> </w:t>
      </w:r>
      <w:r>
        <w:rPr>
          <w:rStyle w:val="VerbatimChar"/>
        </w:rPr>
        <w:t xml:space="preserve">signature_id(if any)</w:t>
      </w:r>
      <w:r>
        <w:t xml:space="preserve">,</w:t>
      </w:r>
      <w:r>
        <w:t xml:space="preserve"> </w:t>
      </w:r>
      <w:r>
        <w:rPr>
          <w:rStyle w:val="VerbatimChar"/>
        </w:rPr>
        <w:t xml:space="preserve">hash(payload)</w:t>
      </w:r>
      <w:r>
        <w:t xml:space="preserve">,</w:t>
      </w:r>
      <w:r>
        <w:t xml:space="preserve"> </w:t>
      </w:r>
      <w:r>
        <w:rPr>
          <w:rStyle w:val="VerbatimChar"/>
        </w:rPr>
        <w:t xml:space="preserve">target_system</w:t>
      </w:r>
      <w:r>
        <w:t xml:space="preserve">,</w:t>
      </w:r>
      <w:r>
        <w:t xml:space="preserve"> </w:t>
      </w:r>
      <w:r>
        <w:rPr>
          <w:rStyle w:val="VerbatimChar"/>
        </w:rPr>
        <w:t xml:space="preserve">target_record_id</w:t>
      </w:r>
      <w:r>
        <w:t xml:space="preserve">. Provenance is a recognized mechanism to assess quality/trustworthiness in heterogeneous environments.</w:t>
      </w:r>
      <w:r>
        <w:t xml:space="preserve"> </w:t>
      </w:r>
      <w:hyperlink r:id="rId24">
        <w:r>
          <w:rPr>
            <w:rStyle w:val="Hyperlink"/>
          </w:rPr>
          <w:t xml:space="preserve">[22]</w:t>
        </w:r>
      </w:hyperlink>
    </w:p>
    <w:bookmarkEnd w:id="38"/>
    <w:bookmarkStart w:id="41" w:name="mdm-vs-knowledge-graph-for-ontology"/>
    <w:p>
      <w:pPr>
        <w:pStyle w:val="Heading3"/>
      </w:pPr>
      <w:r>
        <w:t xml:space="preserve">MDM vs knowledge graph for ontology</w:t>
      </w:r>
    </w:p>
    <w:p>
      <w:pPr>
        <w:pStyle w:val="FirstParagraph"/>
      </w:pPr>
      <w:r>
        <w:rPr>
          <w:b/>
          <w:bCs/>
        </w:rPr>
        <w:t xml:space="preserve">When registry-style MDM helps (recommended if identifier fragmentation is a top risk):</w:t>
      </w:r>
      <w:r>
        <w:t xml:space="preserve"> </w:t>
      </w:r>
      <w:r>
        <w:t xml:space="preserve">- If</w:t>
      </w:r>
      <w:r>
        <w:t xml:space="preserve"> </w:t>
      </w:r>
      <w:r>
        <w:rPr>
          <w:b/>
          <w:bCs/>
        </w:rPr>
        <w:t xml:space="preserve">critical master entities</w:t>
      </w:r>
      <w:r>
        <w:t xml:space="preserve"> </w:t>
      </w:r>
      <w:r>
        <w:t xml:space="preserve">(equipment IDs, asset hierarchy, location codes, material IDs, personnel identifiers) differ across ERP/MES/EAMS/LIMS, workforce workflows will break without a stable crosswalk.</w:t>
      </w:r>
      <w:r>
        <w:t xml:space="preserve"> </w:t>
      </w:r>
      <w:r>
        <w:t xml:space="preserve">- A</w:t>
      </w:r>
      <w:r>
        <w:t xml:space="preserve"> </w:t>
      </w:r>
      <w:r>
        <w:rPr>
          <w:b/>
          <w:bCs/>
        </w:rPr>
        <w:t xml:space="preserve">registry/hub MDM</w:t>
      </w:r>
      <w:r>
        <w:t xml:space="preserve"> </w:t>
      </w:r>
      <w:r>
        <w:t xml:space="preserve">can maintain</w:t>
      </w:r>
      <w:r>
        <w:t xml:space="preserve"> </w:t>
      </w:r>
      <w:r>
        <w:rPr>
          <w:b/>
          <w:bCs/>
        </w:rPr>
        <w:t xml:space="preserve">cross-reference mappings</w:t>
      </w:r>
      <w:r>
        <w:t xml:space="preserve"> </w:t>
      </w:r>
      <w:r>
        <w:t xml:space="preserve">and survivorship rules</w:t>
      </w:r>
      <w:r>
        <w:t xml:space="preserve"> </w:t>
      </w:r>
      <w:r>
        <w:rPr>
          <w:i/>
          <w:iCs/>
        </w:rPr>
        <w:t xml:space="preserve">without claiming to be the single system of record</w:t>
      </w:r>
      <w:r>
        <w:t xml:space="preserve">—important under your “leave originals in place” constraint. (Mastering of “golden values” is optional and should be explicitly scoped; otherwise treat as ID harmonization.)</w:t>
      </w:r>
    </w:p>
    <w:p>
      <w:pPr>
        <w:pStyle w:val="BodyText"/>
      </w:pPr>
      <w:r>
        <w:rPr>
          <w:b/>
          <w:bCs/>
        </w:rPr>
        <w:t xml:space="preserve">When a knowledge graph helps (recommended for complex process context and navigation):</w:t>
      </w:r>
      <w:r>
        <w:t xml:space="preserve"> </w:t>
      </w:r>
      <w:r>
        <w:t xml:space="preserve">- Biologics manufacturing workflows often require</w:t>
      </w:r>
      <w:r>
        <w:t xml:space="preserve"> </w:t>
      </w:r>
      <w:r>
        <w:rPr>
          <w:b/>
          <w:bCs/>
        </w:rPr>
        <w:t xml:space="preserve">relationship reasoning</w:t>
      </w:r>
      <w:r>
        <w:t xml:space="preserve"> </w:t>
      </w:r>
      <w:r>
        <w:t xml:space="preserve">more than “single golden values” (e.g., which equipment used in a batch step; whether calibration was current at execution time; which deviations relate to a lot; which samples support a disposition).</w:t>
      </w:r>
      <w:r>
        <w:t xml:space="preserve"> </w:t>
      </w:r>
      <w:r>
        <w:t xml:space="preserve">- A knowledge graph can store</w:t>
      </w:r>
      <w:r>
        <w:t xml:space="preserve"> </w:t>
      </w:r>
      <w:r>
        <w:rPr>
          <w:b/>
          <w:bCs/>
        </w:rPr>
        <w:t xml:space="preserve">edges and context</w:t>
      </w:r>
      <w:r>
        <w:t xml:space="preserve"> </w:t>
      </w:r>
      <w:r>
        <w:t xml:space="preserve">while keeping authoritative values in source systems, using RDF graphs, constraints validation, and explicit provenance.</w:t>
      </w:r>
      <w:r>
        <w:t xml:space="preserve"> </w:t>
      </w:r>
      <w:hyperlink r:id="rId39">
        <w:r>
          <w:rPr>
            <w:rStyle w:val="Hyperlink"/>
          </w:rPr>
          <w:t xml:space="preserve">[23]</w:t>
        </w:r>
      </w:hyperlink>
      <w:r>
        <w:t xml:space="preserve"> </w:t>
      </w:r>
      <w:r>
        <w:t xml:space="preserve">- This approach aligns with data integrity guidance emphasizing trustworthy data across the lifecycle and the need to manage data flow and original records.</w:t>
      </w:r>
      <w:r>
        <w:t xml:space="preserve"> </w:t>
      </w:r>
      <w:hyperlink r:id="rId40">
        <w:r>
          <w:rPr>
            <w:rStyle w:val="Hyperlink"/>
          </w:rPr>
          <w:t xml:space="preserve">[24]</w:t>
        </w:r>
      </w:hyperlink>
    </w:p>
    <w:p>
      <w:pPr>
        <w:pStyle w:val="BodyText"/>
      </w:pPr>
      <w:r>
        <w:rPr>
          <w:b/>
          <w:bCs/>
        </w:rPr>
        <w:t xml:space="preserve">Practical recommendation:</w:t>
      </w:r>
      <w:r>
        <w:t xml:space="preserve"> </w:t>
      </w:r>
      <w:r>
        <w:t xml:space="preserve">implement (1) an</w:t>
      </w:r>
      <w:r>
        <w:t xml:space="preserve"> </w:t>
      </w:r>
      <w:r>
        <w:rPr>
          <w:b/>
          <w:bCs/>
        </w:rPr>
        <w:t xml:space="preserve">Identity &amp; Mapping Service</w:t>
      </w:r>
      <w:r>
        <w:t xml:space="preserve"> </w:t>
      </w:r>
      <w:r>
        <w:t xml:space="preserve">(registry MDM pattern) plus (2) an optional</w:t>
      </w:r>
      <w:r>
        <w:t xml:space="preserve"> </w:t>
      </w:r>
      <w:r>
        <w:rPr>
          <w:b/>
          <w:bCs/>
        </w:rPr>
        <w:t xml:space="preserve">Context Graph</w:t>
      </w:r>
      <w:r>
        <w:t xml:space="preserve"> </w:t>
      </w:r>
      <w:r>
        <w:t xml:space="preserve">(knowledge graph) for relationships and lineage. Both remain</w:t>
      </w:r>
      <w:r>
        <w:t xml:space="preserve"> </w:t>
      </w:r>
      <w:r>
        <w:rPr>
          <w:b/>
          <w:bCs/>
        </w:rPr>
        <w:t xml:space="preserve">non-authoritative</w:t>
      </w:r>
      <w:r>
        <w:t xml:space="preserve"> </w:t>
      </w:r>
      <w:r>
        <w:t xml:space="preserve">and are validated/controlled like other GMP-relevant computerized components if used for GxP decision support.</w:t>
      </w:r>
      <w:r>
        <w:t xml:space="preserve"> </w:t>
      </w:r>
      <w:hyperlink r:id="rId21">
        <w:r>
          <w:rPr>
            <w:rStyle w:val="Hyperlink"/>
          </w:rPr>
          <w:t xml:space="preserve">[25]</w:t>
        </w:r>
      </w:hyperlink>
    </w:p>
    <w:bookmarkEnd w:id="41"/>
    <w:bookmarkEnd w:id="42"/>
    <w:bookmarkStart w:id="48" w:name="X7a96856abe2b589eadc426b5d243019579a9aea"/>
    <w:p>
      <w:pPr>
        <w:pStyle w:val="Heading2"/>
      </w:pPr>
      <w:r>
        <w:t xml:space="preserve">Reference architecture and integration patterns</w:t>
      </w:r>
    </w:p>
    <w:bookmarkStart w:id="44" w:name="target-architecture"/>
    <w:p>
      <w:pPr>
        <w:pStyle w:val="Heading3"/>
      </w:pPr>
      <w:r>
        <w:t xml:space="preserve">Target architecture</w:t>
      </w:r>
    </w:p>
    <w:p>
      <w:pPr>
        <w:pStyle w:val="SourceCode"/>
      </w:pPr>
      <w:r>
        <w:rPr>
          <w:rStyle w:val="VerbatimChar"/>
        </w:rPr>
        <w:t xml:space="preserve">flowchart LR</w:t>
      </w:r>
      <w:r>
        <w:br/>
      </w:r>
      <w:r>
        <w:rPr>
          <w:rStyle w:val="VerbatimChar"/>
        </w:rPr>
        <w:t xml:space="preserve">  subgraph Worker["Worker Layer"]</w:t>
      </w:r>
      <w:r>
        <w:br/>
      </w:r>
      <w:r>
        <w:rPr>
          <w:rStyle w:val="VerbatimChar"/>
        </w:rPr>
        <w:t xml:space="preserve">    D1[Mobile / Wearable Device]</w:t>
      </w:r>
      <w:r>
        <w:br/>
      </w:r>
      <w:r>
        <w:rPr>
          <w:rStyle w:val="VerbatimChar"/>
        </w:rPr>
        <w:t xml:space="preserve">    D2[Kiosk / Shared Station]</w:t>
      </w:r>
      <w:r>
        <w:br/>
      </w:r>
      <w:r>
        <w:rPr>
          <w:rStyle w:val="VerbatimChar"/>
        </w:rPr>
        <w:t xml:space="preserve">  end</w:t>
      </w:r>
      <w:r>
        <w:br/>
      </w:r>
      <w:r>
        <w:br/>
      </w:r>
      <w:r>
        <w:rPr>
          <w:rStyle w:val="VerbatimChar"/>
        </w:rPr>
        <w:t xml:space="preserve">  subgraph Access["Access &amp; Trust Layer"]</w:t>
      </w:r>
      <w:r>
        <w:br/>
      </w:r>
      <w:r>
        <w:rPr>
          <w:rStyle w:val="VerbatimChar"/>
        </w:rPr>
        <w:t xml:space="preserve">    ZTNA[ZTNA / Reverse Proxy]</w:t>
      </w:r>
      <w:r>
        <w:br/>
      </w:r>
      <w:r>
        <w:rPr>
          <w:rStyle w:val="VerbatimChar"/>
        </w:rPr>
        <w:t xml:space="preserve">    IdP[Identity Provider]</w:t>
      </w:r>
      <w:r>
        <w:br/>
      </w:r>
      <w:r>
        <w:rPr>
          <w:rStyle w:val="VerbatimChar"/>
        </w:rPr>
        <w:t xml:space="preserve">    MDM[Device Mgmt / Attestation]</w:t>
      </w:r>
      <w:r>
        <w:br/>
      </w:r>
      <w:r>
        <w:rPr>
          <w:rStyle w:val="VerbatimChar"/>
        </w:rPr>
        <w:t xml:space="preserve">  end</w:t>
      </w:r>
      <w:r>
        <w:br/>
      </w:r>
      <w:r>
        <w:br/>
      </w:r>
      <w:r>
        <w:rPr>
          <w:rStyle w:val="VerbatimChar"/>
        </w:rPr>
        <w:t xml:space="preserve">  subgraph CWP["Connected-Worker Platform"]</w:t>
      </w:r>
      <w:r>
        <w:br/>
      </w:r>
      <w:r>
        <w:rPr>
          <w:rStyle w:val="VerbatimChar"/>
        </w:rPr>
        <w:t xml:space="preserve">    UX[Workflow UI &amp; Procedure Engine]</w:t>
      </w:r>
      <w:r>
        <w:br/>
      </w:r>
      <w:r>
        <w:rPr>
          <w:rStyle w:val="VerbatimChar"/>
        </w:rPr>
        <w:t xml:space="preserve">    POL[Policy, RBAC &amp; Validation Rules]</w:t>
      </w:r>
      <w:r>
        <w:br/>
      </w:r>
      <w:r>
        <w:rPr>
          <w:rStyle w:val="VerbatimChar"/>
        </w:rPr>
        <w:t xml:space="preserve">    AUD[Audit/Event Log (tamper-evident)]</w:t>
      </w:r>
      <w:r>
        <w:br/>
      </w:r>
      <w:r>
        <w:rPr>
          <w:rStyle w:val="VerbatimChar"/>
        </w:rPr>
        <w:t xml:space="preserve">    OUT[Outbox / Retry Queue]</w:t>
      </w:r>
      <w:r>
        <w:br/>
      </w:r>
      <w:r>
        <w:rPr>
          <w:rStyle w:val="VerbatimChar"/>
        </w:rPr>
        <w:t xml:space="preserve">    API[API Gateway]</w:t>
      </w:r>
      <w:r>
        <w:br/>
      </w:r>
      <w:r>
        <w:rPr>
          <w:rStyle w:val="VerbatimChar"/>
        </w:rPr>
        <w:t xml:space="preserve">  end</w:t>
      </w:r>
      <w:r>
        <w:br/>
      </w:r>
      <w:r>
        <w:br/>
      </w:r>
      <w:r>
        <w:rPr>
          <w:rStyle w:val="VerbatimChar"/>
        </w:rPr>
        <w:t xml:space="preserve">  subgraph INT["Integration Layer"]</w:t>
      </w:r>
      <w:r>
        <w:br/>
      </w:r>
      <w:r>
        <w:rPr>
          <w:rStyle w:val="VerbatimChar"/>
        </w:rPr>
        <w:t xml:space="preserve">    ESB[Integration Middleware / iPaaS / ESB]</w:t>
      </w:r>
      <w:r>
        <w:br/>
      </w:r>
      <w:r>
        <w:rPr>
          <w:rStyle w:val="VerbatimChar"/>
        </w:rPr>
        <w:t xml:space="preserve">    BUS[Event Bus / Message Broker]</w:t>
      </w:r>
      <w:r>
        <w:br/>
      </w:r>
      <w:r>
        <w:rPr>
          <w:rStyle w:val="VerbatimChar"/>
        </w:rPr>
        <w:t xml:space="preserve">    CDC[CDC / Replication (where allowed)]</w:t>
      </w:r>
      <w:r>
        <w:br/>
      </w:r>
      <w:r>
        <w:rPr>
          <w:rStyle w:val="VerbatimChar"/>
        </w:rPr>
        <w:t xml:space="preserve">  end</w:t>
      </w:r>
      <w:r>
        <w:br/>
      </w:r>
      <w:r>
        <w:br/>
      </w:r>
      <w:r>
        <w:rPr>
          <w:rStyle w:val="VerbatimChar"/>
        </w:rPr>
        <w:t xml:space="preserve">  subgraph SOR["Systems of Record"]</w:t>
      </w:r>
      <w:r>
        <w:br/>
      </w:r>
      <w:r>
        <w:rPr>
          <w:rStyle w:val="VerbatimChar"/>
        </w:rPr>
        <w:t xml:space="preserve">    ERP[ERP]</w:t>
      </w:r>
      <w:r>
        <w:br/>
      </w:r>
      <w:r>
        <w:rPr>
          <w:rStyle w:val="VerbatimChar"/>
        </w:rPr>
        <w:t xml:space="preserve">    MES[MES]</w:t>
      </w:r>
      <w:r>
        <w:br/>
      </w:r>
      <w:r>
        <w:rPr>
          <w:rStyle w:val="VerbatimChar"/>
        </w:rPr>
        <w:t xml:space="preserve">    QMS[QMS]</w:t>
      </w:r>
      <w:r>
        <w:br/>
      </w:r>
      <w:r>
        <w:rPr>
          <w:rStyle w:val="VerbatimChar"/>
        </w:rPr>
        <w:t xml:space="preserve">    LIMS[LIMS]</w:t>
      </w:r>
      <w:r>
        <w:br/>
      </w:r>
      <w:r>
        <w:rPr>
          <w:rStyle w:val="VerbatimChar"/>
        </w:rPr>
        <w:t xml:space="preserve">    EAMS[EAMS/CMMS]</w:t>
      </w:r>
      <w:r>
        <w:br/>
      </w:r>
      <w:r>
        <w:rPr>
          <w:rStyle w:val="VerbatimChar"/>
        </w:rPr>
        <w:t xml:space="preserve">    HIS[Historian/PI]</w:t>
      </w:r>
      <w:r>
        <w:br/>
      </w:r>
      <w:r>
        <w:rPr>
          <w:rStyle w:val="VerbatimChar"/>
        </w:rPr>
        <w:t xml:space="preserve">    DMS[DMS/eDMS]</w:t>
      </w:r>
      <w:r>
        <w:br/>
      </w:r>
      <w:r>
        <w:rPr>
          <w:rStyle w:val="VerbatimChar"/>
        </w:rPr>
        <w:t xml:space="preserve">  end</w:t>
      </w:r>
      <w:r>
        <w:br/>
      </w:r>
      <w:r>
        <w:br/>
      </w:r>
      <w:r>
        <w:rPr>
          <w:rStyle w:val="VerbatimChar"/>
        </w:rPr>
        <w:t xml:space="preserve">  D1 --&gt; ZTNA</w:t>
      </w:r>
      <w:r>
        <w:br/>
      </w:r>
      <w:r>
        <w:rPr>
          <w:rStyle w:val="VerbatimChar"/>
        </w:rPr>
        <w:t xml:space="preserve">  D2 --&gt; ZTNA</w:t>
      </w:r>
      <w:r>
        <w:br/>
      </w:r>
      <w:r>
        <w:rPr>
          <w:rStyle w:val="VerbatimChar"/>
        </w:rPr>
        <w:t xml:space="preserve">  ZTNA --&gt; API</w:t>
      </w:r>
      <w:r>
        <w:br/>
      </w:r>
      <w:r>
        <w:rPr>
          <w:rStyle w:val="VerbatimChar"/>
        </w:rPr>
        <w:t xml:space="preserve">  IdP --&gt; API</w:t>
      </w:r>
      <w:r>
        <w:br/>
      </w:r>
      <w:r>
        <w:rPr>
          <w:rStyle w:val="VerbatimChar"/>
        </w:rPr>
        <w:t xml:space="preserve">  MDM --&gt; ZTNA</w:t>
      </w:r>
      <w:r>
        <w:br/>
      </w:r>
      <w:r>
        <w:br/>
      </w:r>
      <w:r>
        <w:rPr>
          <w:rStyle w:val="VerbatimChar"/>
        </w:rPr>
        <w:t xml:space="preserve">  API --&gt; UX</w:t>
      </w:r>
      <w:r>
        <w:br/>
      </w:r>
      <w:r>
        <w:rPr>
          <w:rStyle w:val="VerbatimChar"/>
        </w:rPr>
        <w:t xml:space="preserve">  UX --&gt; POL</w:t>
      </w:r>
      <w:r>
        <w:br/>
      </w:r>
      <w:r>
        <w:rPr>
          <w:rStyle w:val="VerbatimChar"/>
        </w:rPr>
        <w:t xml:space="preserve">  UX --&gt; AUD</w:t>
      </w:r>
      <w:r>
        <w:br/>
      </w:r>
      <w:r>
        <w:rPr>
          <w:rStyle w:val="VerbatimChar"/>
        </w:rPr>
        <w:t xml:space="preserve">  UX --&gt; OUT</w:t>
      </w:r>
      <w:r>
        <w:br/>
      </w:r>
      <w:r>
        <w:br/>
      </w:r>
      <w:r>
        <w:rPr>
          <w:rStyle w:val="VerbatimChar"/>
        </w:rPr>
        <w:t xml:space="preserve">  OUT --&gt; ESB</w:t>
      </w:r>
      <w:r>
        <w:br/>
      </w:r>
      <w:r>
        <w:rPr>
          <w:rStyle w:val="VerbatimChar"/>
        </w:rPr>
        <w:t xml:space="preserve">  ESB --&gt; ERP</w:t>
      </w:r>
      <w:r>
        <w:br/>
      </w:r>
      <w:r>
        <w:rPr>
          <w:rStyle w:val="VerbatimChar"/>
        </w:rPr>
        <w:t xml:space="preserve">  ESB --&gt; MES</w:t>
      </w:r>
      <w:r>
        <w:br/>
      </w:r>
      <w:r>
        <w:rPr>
          <w:rStyle w:val="VerbatimChar"/>
        </w:rPr>
        <w:t xml:space="preserve">  ESB --&gt; QMS</w:t>
      </w:r>
      <w:r>
        <w:br/>
      </w:r>
      <w:r>
        <w:rPr>
          <w:rStyle w:val="VerbatimChar"/>
        </w:rPr>
        <w:t xml:space="preserve">  ESB --&gt; LIMS</w:t>
      </w:r>
      <w:r>
        <w:br/>
      </w:r>
      <w:r>
        <w:rPr>
          <w:rStyle w:val="VerbatimChar"/>
        </w:rPr>
        <w:t xml:space="preserve">  ESB --&gt; EAMS</w:t>
      </w:r>
      <w:r>
        <w:br/>
      </w:r>
      <w:r>
        <w:rPr>
          <w:rStyle w:val="VerbatimChar"/>
        </w:rPr>
        <w:t xml:space="preserve">  ESB --&gt; DMS</w:t>
      </w:r>
      <w:r>
        <w:br/>
      </w:r>
      <w:r>
        <w:br/>
      </w:r>
      <w:r>
        <w:rPr>
          <w:rStyle w:val="VerbatimChar"/>
        </w:rPr>
        <w:t xml:space="preserve">  BUS &lt;--&gt; ESB</w:t>
      </w:r>
      <w:r>
        <w:br/>
      </w:r>
      <w:r>
        <w:rPr>
          <w:rStyle w:val="VerbatimChar"/>
        </w:rPr>
        <w:t xml:space="preserve">  CDC --&gt; ESB</w:t>
      </w:r>
      <w:r>
        <w:br/>
      </w:r>
      <w:r>
        <w:rPr>
          <w:rStyle w:val="VerbatimChar"/>
        </w:rPr>
        <w:t xml:space="preserve">  HIS --&gt; ESB</w:t>
      </w:r>
    </w:p>
    <w:p>
      <w:pPr>
        <w:pStyle w:val="FirstParagraph"/>
      </w:pPr>
      <w:r>
        <w:t xml:space="preserve">Security posture assumes movement away from perimeter-only trust toward identity-, device-, and policy-centric enforcement consistent with Zero Trust concepts.</w:t>
      </w:r>
      <w:r>
        <w:t xml:space="preserve"> </w:t>
      </w:r>
      <w:hyperlink r:id="rId43">
        <w:r>
          <w:rPr>
            <w:rStyle w:val="Hyperlink"/>
          </w:rPr>
          <w:t xml:space="preserve">[26]</w:t>
        </w:r>
      </w:hyperlink>
    </w:p>
    <w:bookmarkEnd w:id="44"/>
    <w:bookmarkStart w:id="45" w:name="X2aa978634263a669d99888c9baf8fb963c56807"/>
    <w:p>
      <w:pPr>
        <w:pStyle w:val="Heading3"/>
      </w:pPr>
      <w:r>
        <w:t xml:space="preserve">Integration patterns and when to use them</w:t>
      </w:r>
    </w:p>
    <w:p>
      <w:pPr>
        <w:pStyle w:val="FirstParagraph"/>
      </w:pPr>
      <w:r>
        <w:t xml:space="preserve">EU GMP computerized-system guidance requires validated applications, qualified infrastructure, risk-based controls, and audit trails for GMP-relevant changes, which directly impacts integration choices and “who writes what where.”</w:t>
      </w:r>
      <w:r>
        <w:t xml:space="preserve"> </w:t>
      </w:r>
      <w:hyperlink r:id="rId21">
        <w:r>
          <w:rPr>
            <w:rStyle w:val="Hyperlink"/>
          </w:rPr>
          <w:t xml:space="preserve">[27]</w:t>
        </w:r>
      </w:hyperlink>
    </w:p>
    <w:p>
      <w:pPr>
        <w:pStyle w:val="BodyText"/>
      </w:pPr>
      <w:r>
        <w:rPr>
          <w:b/>
          <w:bCs/>
        </w:rPr>
        <w:t xml:space="preserve">Integration approaches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Pattern</w:t>
            </w:r>
          </w:p>
        </w:tc>
        <w:tc>
          <w:tcPr/>
          <w:p>
            <w:pPr>
              <w:pStyle w:val="Compact"/>
            </w:pPr>
            <w:r>
              <w:t xml:space="preserve">Typical transport</w:t>
            </w:r>
          </w:p>
        </w:tc>
        <w:tc>
          <w:tcPr/>
          <w:p>
            <w:pPr>
              <w:pStyle w:val="Compact"/>
            </w:pPr>
            <w:r>
              <w:t xml:space="preserve">Strengths</w:t>
            </w:r>
          </w:p>
        </w:tc>
        <w:tc>
          <w:tcPr/>
          <w:p>
            <w:pPr>
              <w:pStyle w:val="Compact"/>
            </w:pPr>
            <w:r>
              <w:t xml:space="preserve">Constraints in GMP/regulated context</w:t>
            </w:r>
          </w:p>
        </w:tc>
        <w:tc>
          <w:tcPr/>
          <w:p>
            <w:pPr>
              <w:pStyle w:val="Compact"/>
            </w:pPr>
            <w:r>
              <w:t xml:space="preserve">Best-fit examples</w:t>
            </w:r>
          </w:p>
        </w:tc>
      </w:tr>
      <w:tr>
        <w:tc>
          <w:tcPr/>
          <w:p>
            <w:pPr>
              <w:pStyle w:val="Compact"/>
            </w:pPr>
            <w:r>
              <w:t xml:space="preserve">Read-only API federation</w:t>
            </w:r>
          </w:p>
        </w:tc>
        <w:tc>
          <w:tcPr/>
          <w:p>
            <w:pPr>
              <w:pStyle w:val="Compact"/>
            </w:pPr>
            <w:r>
              <w:t xml:space="preserve">REST/SOAP/GraphQL</w:t>
            </w:r>
          </w:p>
        </w:tc>
        <w:tc>
          <w:tcPr/>
          <w:p>
            <w:pPr>
              <w:pStyle w:val="Compact"/>
            </w:pPr>
            <w:r>
              <w:t xml:space="preserve">Lowest data ownership risk; minimizes duplication</w:t>
            </w:r>
          </w:p>
        </w:tc>
        <w:tc>
          <w:tcPr/>
          <w:p>
            <w:pPr>
              <w:pStyle w:val="Compact"/>
            </w:pPr>
            <w:r>
              <w:t xml:space="preserve">Requires strong availability/latency; careful authorization; caching must not become “record”</w:t>
            </w:r>
          </w:p>
        </w:tc>
        <w:tc>
          <w:tcPr/>
          <w:p>
            <w:pPr>
              <w:pStyle w:val="Compact"/>
            </w:pPr>
            <w:r>
              <w:t xml:space="preserve">Procedure context pulls (equipment status, batch state)</w:t>
            </w:r>
          </w:p>
        </w:tc>
      </w:tr>
      <w:tr>
        <w:tc>
          <w:tcPr/>
          <w:p>
            <w:pPr>
              <w:pStyle w:val="Compact"/>
            </w:pPr>
            <w:r>
              <w:t xml:space="preserve">Event-driven read model</w:t>
            </w:r>
          </w:p>
        </w:tc>
        <w:tc>
          <w:tcPr/>
          <w:p>
            <w:pPr>
              <w:pStyle w:val="Compact"/>
            </w:pPr>
            <w:r>
              <w:t xml:space="preserve">Pub/sub, broker</w:t>
            </w:r>
          </w:p>
        </w:tc>
        <w:tc>
          <w:tcPr/>
          <w:p>
            <w:pPr>
              <w:pStyle w:val="Compact"/>
            </w:pPr>
            <w:r>
              <w:t xml:space="preserve">Near-real-time; decouples producers/consumers</w:t>
            </w:r>
          </w:p>
        </w:tc>
        <w:tc>
          <w:tcPr/>
          <w:p>
            <w:pPr>
              <w:pStyle w:val="Compact"/>
            </w:pPr>
            <w:r>
              <w:t xml:space="preserve">Event schemas need governance; event payloads should avoid becoming authoritative “records”</w:t>
            </w:r>
          </w:p>
        </w:tc>
        <w:tc>
          <w:tcPr/>
          <w:p>
            <w:pPr>
              <w:pStyle w:val="Compact"/>
            </w:pPr>
            <w:r>
              <w:t xml:space="preserve">Alarm/event notifications; “work assigned” events</w:t>
            </w:r>
            <w:r>
              <w:t xml:space="preserve"> </w:t>
            </w:r>
            <w:hyperlink r:id="rId30">
              <w:r>
                <w:rPr>
                  <w:rStyle w:val="Hyperlink"/>
                </w:rPr>
                <w:t xml:space="preserve">[16]</w:t>
              </w:r>
            </w:hyperlink>
          </w:p>
        </w:tc>
      </w:tr>
      <w:tr>
        <w:tc>
          <w:tcPr/>
          <w:p>
            <w:pPr>
              <w:pStyle w:val="Compact"/>
            </w:pPr>
            <w:r>
              <w:t xml:space="preserve">Controlled write-back (transactional)</w:t>
            </w:r>
          </w:p>
        </w:tc>
        <w:tc>
          <w:tcPr/>
          <w:p>
            <w:pPr>
              <w:pStyle w:val="Compact"/>
            </w:pPr>
            <w:r>
              <w:t xml:space="preserve">API + idempotency keys</w:t>
            </w:r>
          </w:p>
        </w:tc>
        <w:tc>
          <w:tcPr/>
          <w:p>
            <w:pPr>
              <w:pStyle w:val="Compact"/>
            </w:pPr>
            <w:r>
              <w:t xml:space="preserve">Ensures SoR owns record; supports receipts and traceability</w:t>
            </w:r>
          </w:p>
        </w:tc>
        <w:tc>
          <w:tcPr/>
          <w:p>
            <w:pPr>
              <w:pStyle w:val="Compact"/>
            </w:pPr>
            <w:r>
              <w:t xml:space="preserve">Requires SoR write APIs or middleware adapters; strict error handling and reconciliation</w:t>
            </w:r>
          </w:p>
        </w:tc>
        <w:tc>
          <w:tcPr/>
          <w:p>
            <w:pPr>
              <w:pStyle w:val="Compact"/>
            </w:pPr>
            <w:r>
              <w:t xml:space="preserve">MES step completion; QMS deviation initiation; EAMS work order completion</w:t>
            </w:r>
          </w:p>
        </w:tc>
      </w:tr>
      <w:tr>
        <w:tc>
          <w:tcPr/>
          <w:p>
            <w:pPr>
              <w:pStyle w:val="Compact"/>
            </w:pPr>
            <w:r>
              <w:t xml:space="preserve">Orchestrated “command + receipt”</w:t>
            </w:r>
          </w:p>
        </w:tc>
        <w:tc>
          <w:tcPr/>
          <w:p>
            <w:pPr>
              <w:pStyle w:val="Compact"/>
            </w:pPr>
            <w:r>
              <w:t xml:space="preserve">Saga/outbox</w:t>
            </w:r>
          </w:p>
        </w:tc>
        <w:tc>
          <w:tcPr/>
          <w:p>
            <w:pPr>
              <w:pStyle w:val="Compact"/>
            </w:pPr>
            <w:r>
              <w:t xml:space="preserve">Resilient to partial failures; auditable</w:t>
            </w:r>
          </w:p>
        </w:tc>
        <w:tc>
          <w:tcPr/>
          <w:p>
            <w:pPr>
              <w:pStyle w:val="Compact"/>
            </w:pPr>
            <w:r>
              <w:t xml:space="preserve">Higher complexity; must define exactly what is committed where and when</w:t>
            </w:r>
          </w:p>
        </w:tc>
        <w:tc>
          <w:tcPr/>
          <w:p>
            <w:pPr>
              <w:pStyle w:val="Compact"/>
            </w:pPr>
            <w:r>
              <w:t xml:space="preserve">Multi-system workflows (sampling: MES+LIMS+QMS)</w:t>
            </w:r>
          </w:p>
        </w:tc>
      </w:tr>
      <w:tr>
        <w:tc>
          <w:tcPr/>
          <w:p>
            <w:pPr>
              <w:pStyle w:val="Compact"/>
            </w:pPr>
            <w:r>
              <w:t xml:space="preserve">CDC (where permitted)</w:t>
            </w:r>
          </w:p>
        </w:tc>
        <w:tc>
          <w:tcPr/>
          <w:p>
            <w:pPr>
              <w:pStyle w:val="Compact"/>
            </w:pPr>
            <w:r>
              <w:t xml:space="preserve">DB log-based capture</w:t>
            </w:r>
          </w:p>
        </w:tc>
        <w:tc>
          <w:tcPr/>
          <w:p>
            <w:pPr>
              <w:pStyle w:val="Compact"/>
            </w:pPr>
            <w:r>
              <w:t xml:space="preserve">Efficient for read models and analytics</w:t>
            </w:r>
          </w:p>
        </w:tc>
        <w:tc>
          <w:tcPr/>
          <w:p>
            <w:pPr>
              <w:pStyle w:val="Compact"/>
            </w:pPr>
            <w:r>
              <w:t xml:space="preserve">Usually restricted in validated systems; must not bypass application-level audit/controls</w:t>
            </w:r>
          </w:p>
        </w:tc>
        <w:tc>
          <w:tcPr/>
          <w:p>
            <w:pPr>
              <w:pStyle w:val="Compact"/>
            </w:pPr>
            <w:r>
              <w:t xml:space="preserve">Non-GxP analytics or nearline contextual read models</w:t>
            </w:r>
          </w:p>
        </w:tc>
      </w:tr>
      <w:tr>
        <w:tc>
          <w:tcPr/>
          <w:p>
            <w:pPr>
              <w:pStyle w:val="Compact"/>
            </w:pPr>
            <w:r>
              <w:t xml:space="preserve">File-based transfer</w:t>
            </w:r>
          </w:p>
        </w:tc>
        <w:tc>
          <w:tcPr/>
          <w:p>
            <w:pPr>
              <w:pStyle w:val="Compact"/>
            </w:pPr>
            <w:r>
              <w:t xml:space="preserve">SFTP, CSV/XML</w:t>
            </w:r>
          </w:p>
        </w:tc>
        <w:tc>
          <w:tcPr/>
          <w:p>
            <w:pPr>
              <w:pStyle w:val="Compact"/>
            </w:pPr>
            <w:r>
              <w:t xml:space="preserve">Ubiquitous; simple; easy vendor support</w:t>
            </w:r>
          </w:p>
        </w:tc>
        <w:tc>
          <w:tcPr/>
          <w:p>
            <w:pPr>
              <w:pStyle w:val="Compact"/>
            </w:pPr>
            <w:r>
              <w:t xml:space="preserve">Latency, brittle schema drift, weaker real-time traceability</w:t>
            </w:r>
          </w:p>
        </w:tc>
        <w:tc>
          <w:tcPr/>
          <w:p>
            <w:pPr>
              <w:pStyle w:val="Compact"/>
            </w:pPr>
            <w:r>
              <w:t xml:space="preserve">Legacy LIMS/QMS exports in coexistence phase</w:t>
            </w:r>
          </w:p>
        </w:tc>
      </w:tr>
    </w:tbl>
    <w:bookmarkEnd w:id="45"/>
    <w:bookmarkStart w:id="46" w:name="X2097e53079af7c2a6fea82718a0e5869f79eaf7"/>
    <w:p>
      <w:pPr>
        <w:pStyle w:val="Heading3"/>
      </w:pPr>
      <w:r>
        <w:t xml:space="preserve">Integration matrix aligned to “write into the right system of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 created in connected-worker workflow</w:t>
            </w:r>
          </w:p>
        </w:tc>
        <w:tc>
          <w:tcPr/>
          <w:p>
            <w:pPr>
              <w:pStyle w:val="Compact"/>
            </w:pPr>
            <w:r>
              <w:t xml:space="preserve">Authoritative target SoR</w:t>
            </w:r>
          </w:p>
        </w:tc>
        <w:tc>
          <w:tcPr/>
          <w:p>
            <w:pPr>
              <w:pStyle w:val="Compact"/>
            </w:pPr>
            <w:r>
              <w:t xml:space="preserve">Write-back mechanism (preferred)</w:t>
            </w:r>
          </w:p>
        </w:tc>
        <w:tc>
          <w:tcPr/>
          <w:p>
            <w:pPr>
              <w:pStyle w:val="Compact"/>
            </w:pPr>
            <w:r>
              <w:t xml:space="preserve">Required acknowledgments</w:t>
            </w:r>
          </w:p>
        </w:tc>
      </w:tr>
      <w:tr>
        <w:tc>
          <w:tcPr/>
          <w:p>
            <w:pPr>
              <w:pStyle w:val="Compact"/>
            </w:pPr>
            <w:r>
              <w:t xml:space="preserve">Batch step sign-off / execution data</w:t>
            </w:r>
          </w:p>
        </w:tc>
        <w:tc>
          <w:tcPr/>
          <w:p>
            <w:pPr>
              <w:pStyle w:val="Compact"/>
            </w:pPr>
            <w:r>
              <w:t xml:space="preserve">MES</w:t>
            </w:r>
          </w:p>
        </w:tc>
        <w:tc>
          <w:tcPr/>
          <w:p>
            <w:pPr>
              <w:pStyle w:val="Compact"/>
            </w:pPr>
            <w:r>
              <w:t xml:space="preserve">Transactional API write-back via middleware</w:t>
            </w:r>
          </w:p>
        </w:tc>
        <w:tc>
          <w:tcPr/>
          <w:p>
            <w:pPr>
              <w:pStyle w:val="Compact"/>
            </w:pPr>
            <w:r>
              <w:t xml:space="preserve">Target record ID + audit trail entry + signature linkage</w:t>
            </w:r>
          </w:p>
        </w:tc>
      </w:tr>
      <w:tr>
        <w:tc>
          <w:tcPr/>
          <w:p>
            <w:pPr>
              <w:pStyle w:val="Compact"/>
            </w:pPr>
            <w:r>
              <w:t xml:space="preserve">Deviation / event report intake</w:t>
            </w:r>
          </w:p>
        </w:tc>
        <w:tc>
          <w:tcPr/>
          <w:p>
            <w:pPr>
              <w:pStyle w:val="Compact"/>
            </w:pPr>
            <w:r>
              <w:t xml:space="preserve">QMS</w:t>
            </w:r>
          </w:p>
        </w:tc>
        <w:tc>
          <w:tcPr/>
          <w:p>
            <w:pPr>
              <w:pStyle w:val="Compact"/>
            </w:pPr>
            <w:r>
              <w:t xml:space="preserve">Command + receipt (create case, attach evidence)</w:t>
            </w:r>
          </w:p>
        </w:tc>
        <w:tc>
          <w:tcPr/>
          <w:p>
            <w:pPr>
              <w:pStyle w:val="Compact"/>
            </w:pPr>
            <w:r>
              <w:t xml:space="preserve">Case number issuance + immutable metadata</w:t>
            </w:r>
          </w:p>
        </w:tc>
      </w:tr>
      <w:tr>
        <w:tc>
          <w:tcPr/>
          <w:p>
            <w:pPr>
              <w:pStyle w:val="Compact"/>
            </w:pPr>
            <w:r>
              <w:t xml:space="preserve">Maintenance execution details</w:t>
            </w:r>
          </w:p>
        </w:tc>
        <w:tc>
          <w:tcPr/>
          <w:p>
            <w:pPr>
              <w:pStyle w:val="Compact"/>
            </w:pPr>
            <w:r>
              <w:t xml:space="preserve">EAMS/CMMS</w:t>
            </w:r>
          </w:p>
        </w:tc>
        <w:tc>
          <w:tcPr/>
          <w:p>
            <w:pPr>
              <w:pStyle w:val="Compact"/>
            </w:pPr>
            <w:r>
              <w:t xml:space="preserve">Transactional write-back (work order completion)</w:t>
            </w:r>
          </w:p>
        </w:tc>
        <w:tc>
          <w:tcPr/>
          <w:p>
            <w:pPr>
              <w:pStyle w:val="Compact"/>
            </w:pPr>
            <w:r>
              <w:t xml:space="preserve">Work order update success + identity mapping</w:t>
            </w:r>
          </w:p>
        </w:tc>
      </w:tr>
      <w:tr>
        <w:tc>
          <w:tcPr/>
          <w:p>
            <w:pPr>
              <w:pStyle w:val="Compact"/>
            </w:pPr>
            <w:r>
              <w:t xml:space="preserve">Sampling chain-of-custody</w:t>
            </w:r>
          </w:p>
        </w:tc>
        <w:tc>
          <w:tcPr/>
          <w:p>
            <w:pPr>
              <w:pStyle w:val="Compact"/>
            </w:pPr>
            <w:r>
              <w:t xml:space="preserve">LIMS (and/or MES)</w:t>
            </w:r>
          </w:p>
        </w:tc>
        <w:tc>
          <w:tcPr/>
          <w:p>
            <w:pPr>
              <w:pStyle w:val="Compact"/>
            </w:pPr>
            <w:r>
              <w:t xml:space="preserve">Orchestrated multi-write (create sample in LIMS; reference in MES)</w:t>
            </w:r>
          </w:p>
        </w:tc>
        <w:tc>
          <w:tcPr/>
          <w:p>
            <w:pPr>
              <w:pStyle w:val="Compact"/>
            </w:pPr>
            <w:r>
              <w:t xml:space="preserve">Both record IDs + cross-reference</w:t>
            </w:r>
          </w:p>
        </w:tc>
      </w:tr>
      <w:tr>
        <w:tc>
          <w:tcPr/>
          <w:p>
            <w:pPr>
              <w:pStyle w:val="Compact"/>
            </w:pPr>
            <w:r>
              <w:t xml:space="preserve">Training verification (if in scope)</w:t>
            </w:r>
          </w:p>
        </w:tc>
        <w:tc>
          <w:tcPr/>
          <w:p>
            <w:pPr>
              <w:pStyle w:val="Compact"/>
            </w:pPr>
            <w:r>
              <w:t xml:space="preserve">LMS (not listed by user; unspecified)</w:t>
            </w:r>
          </w:p>
        </w:tc>
        <w:tc>
          <w:tcPr/>
          <w:p>
            <w:pPr>
              <w:pStyle w:val="Compact"/>
            </w:pPr>
            <w:r>
              <w:t xml:space="preserve">Transactional write-back</w:t>
            </w:r>
          </w:p>
        </w:tc>
        <w:tc>
          <w:tcPr/>
          <w:p>
            <w:pPr>
              <w:pStyle w:val="Compact"/>
            </w:pPr>
            <w:r>
              <w:t xml:space="preserve">Completion record ID</w:t>
            </w:r>
          </w:p>
        </w:tc>
      </w:tr>
    </w:tbl>
    <w:p>
      <w:pPr>
        <w:pStyle w:val="BodyText"/>
      </w:pPr>
      <w:r>
        <w:t xml:space="preserve">Audit trail and identity requirements apply to changes, deletions, and signature actions in GMP-relevant records and must remain reviewable and intelligible.</w:t>
      </w:r>
      <w:r>
        <w:t xml:space="preserve"> </w:t>
      </w:r>
      <w:hyperlink r:id="rId21">
        <w:r>
          <w:rPr>
            <w:rStyle w:val="Hyperlink"/>
          </w:rPr>
          <w:t xml:space="preserve">[28]</w:t>
        </w:r>
      </w:hyperlink>
    </w:p>
    <w:bookmarkEnd w:id="46"/>
    <w:bookmarkStart w:id="47" w:name="data-flow-and-lineage-read-vs-write"/>
    <w:p>
      <w:pPr>
        <w:pStyle w:val="Heading3"/>
      </w:pPr>
      <w:r>
        <w:t xml:space="preserve">Data flow and lineage (read vs write)</w:t>
      </w:r>
    </w:p>
    <w:p>
      <w:pPr>
        <w:pStyle w:val="SourceCode"/>
      </w:pPr>
      <w:r>
        <w:rPr>
          <w:rStyle w:val="VerbatimChar"/>
        </w:rPr>
        <w:t xml:space="preserve">sequenceDiagram</w:t>
      </w:r>
      <w:r>
        <w:br/>
      </w:r>
      <w:r>
        <w:rPr>
          <w:rStyle w:val="VerbatimChar"/>
        </w:rPr>
        <w:t xml:space="preserve">  participant W as Worker Device</w:t>
      </w:r>
      <w:r>
        <w:br/>
      </w:r>
      <w:r>
        <w:rPr>
          <w:rStyle w:val="VerbatimChar"/>
        </w:rPr>
        <w:t xml:space="preserve">  participant P as Connected-Worker Platform</w:t>
      </w:r>
      <w:r>
        <w:br/>
      </w:r>
      <w:r>
        <w:rPr>
          <w:rStyle w:val="VerbatimChar"/>
        </w:rPr>
        <w:t xml:space="preserve">  participant I as Integration Layer</w:t>
      </w:r>
      <w:r>
        <w:br/>
      </w:r>
      <w:r>
        <w:rPr>
          <w:rStyle w:val="VerbatimChar"/>
        </w:rPr>
        <w:t xml:space="preserve">  participant S as Target System of Record</w:t>
      </w:r>
      <w:r>
        <w:br/>
      </w:r>
      <w:r>
        <w:br/>
      </w:r>
      <w:r>
        <w:rPr>
          <w:rStyle w:val="VerbatimChar"/>
        </w:rPr>
        <w:t xml:space="preserve">  W-&gt;&gt;P: Start procedure (doc version locked)</w:t>
      </w:r>
      <w:r>
        <w:br/>
      </w:r>
      <w:r>
        <w:rPr>
          <w:rStyle w:val="VerbatimChar"/>
        </w:rPr>
        <w:t xml:space="preserve">  P-&gt;&gt;I: Read context (source record IDs, versions)</w:t>
      </w:r>
      <w:r>
        <w:br/>
      </w:r>
      <w:r>
        <w:rPr>
          <w:rStyle w:val="VerbatimChar"/>
        </w:rPr>
        <w:t xml:space="preserve">  I-&gt;&gt;S: Query authoritative data</w:t>
      </w:r>
      <w:r>
        <w:br/>
      </w:r>
      <w:r>
        <w:rPr>
          <w:rStyle w:val="VerbatimChar"/>
        </w:rPr>
        <w:t xml:space="preserve">  S--&gt;&gt;I: Data + version metadata</w:t>
      </w:r>
      <w:r>
        <w:br/>
      </w:r>
      <w:r>
        <w:rPr>
          <w:rStyle w:val="VerbatimChar"/>
        </w:rPr>
        <w:t xml:space="preserve">  I--&gt;&gt;P: Context view (by-link)</w:t>
      </w:r>
      <w:r>
        <w:br/>
      </w:r>
      <w:r>
        <w:br/>
      </w:r>
      <w:r>
        <w:rPr>
          <w:rStyle w:val="VerbatimChar"/>
        </w:rPr>
        <w:t xml:space="preserve">  W-&gt;&gt;P: Capture observation / measurement / signature intent</w:t>
      </w:r>
      <w:r>
        <w:br/>
      </w:r>
      <w:r>
        <w:rPr>
          <w:rStyle w:val="VerbatimChar"/>
        </w:rPr>
        <w:t xml:space="preserve">  P-&gt;&gt;P: Validate policy, RBAC, required fields</w:t>
      </w:r>
      <w:r>
        <w:br/>
      </w:r>
      <w:r>
        <w:rPr>
          <w:rStyle w:val="VerbatimChar"/>
        </w:rPr>
        <w:t xml:space="preserve">  P-&gt;&gt;I: Write-back command (idempotency key)</w:t>
      </w:r>
      <w:r>
        <w:br/>
      </w:r>
      <w:r>
        <w:rPr>
          <w:rStyle w:val="VerbatimChar"/>
        </w:rPr>
        <w:t xml:space="preserve">  I-&gt;&gt;S: Create/update SoR record</w:t>
      </w:r>
      <w:r>
        <w:br/>
      </w:r>
      <w:r>
        <w:rPr>
          <w:rStyle w:val="VerbatimChar"/>
        </w:rPr>
        <w:t xml:space="preserve">  S--&gt;&gt;I: Receipt (target_record_id, status)</w:t>
      </w:r>
      <w:r>
        <w:br/>
      </w:r>
      <w:r>
        <w:rPr>
          <w:rStyle w:val="VerbatimChar"/>
        </w:rPr>
        <w:t xml:space="preserve">  I--&gt;&gt;P: Receipt + commit confirmation</w:t>
      </w:r>
      <w:r>
        <w:br/>
      </w:r>
      <w:r>
        <w:rPr>
          <w:rStyle w:val="VerbatimChar"/>
        </w:rPr>
        <w:t xml:space="preserve">  P--&gt;&gt;W: Show committed record reference</w:t>
      </w:r>
    </w:p>
    <w:p>
      <w:pPr>
        <w:pStyle w:val="FirstParagraph"/>
      </w:pPr>
      <w:r>
        <w:t xml:space="preserve">For EU GMP computerized systems, audit trails should capture GMP-relevant changes and deletions with reasons, remain intelligible, and be regularly reviewed; electronic signatures should be linked and time/date-stamped.</w:t>
      </w:r>
      <w:r>
        <w:t xml:space="preserve"> </w:t>
      </w:r>
      <w:hyperlink r:id="rId21">
        <w:r>
          <w:rPr>
            <w:rStyle w:val="Hyperlink"/>
          </w:rPr>
          <w:t xml:space="preserve">[29]</w:t>
        </w:r>
      </w:hyperlink>
    </w:p>
    <w:bookmarkEnd w:id="47"/>
    <w:bookmarkEnd w:id="48"/>
    <w:bookmarkStart w:id="59" w:name="security-compliance-and-validation"/>
    <w:p>
      <w:pPr>
        <w:pStyle w:val="Heading2"/>
      </w:pPr>
      <w:r>
        <w:t xml:space="preserve">Security, compliance, and validation</w:t>
      </w:r>
    </w:p>
    <w:bookmarkStart w:id="57" w:name="security-controls-baseline"/>
    <w:p>
      <w:pPr>
        <w:pStyle w:val="Heading3"/>
      </w:pPr>
      <w:r>
        <w:t xml:space="preserve">Security controls baseline</w:t>
      </w:r>
    </w:p>
    <w:p>
      <w:pPr>
        <w:pStyle w:val="FirstParagraph"/>
      </w:pPr>
      <w:r>
        <w:t xml:space="preserve">This design uses a defense-in-depth approach grounded in recognized control catalogs and OT security guidance, while explicitly supporting GMP requirements for restricting access, recording authorizations, and recording operator identity/time for data entry and change.</w:t>
      </w:r>
      <w:r>
        <w:t xml:space="preserve"> </w:t>
      </w:r>
      <w:hyperlink r:id="rId21">
        <w:r>
          <w:rPr>
            <w:rStyle w:val="Hyperlink"/>
          </w:rPr>
          <w:t xml:space="preserve">[30]</w:t>
        </w:r>
      </w:hyperlink>
    </w:p>
    <w:p>
      <w:pPr>
        <w:pStyle w:val="BodyText"/>
      </w:pPr>
      <w:r>
        <w:rPr>
          <w:b/>
          <w:bCs/>
        </w:rPr>
        <w:t xml:space="preserve">Security controls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domain</w:t>
            </w:r>
          </w:p>
        </w:tc>
        <w:tc>
          <w:tcPr/>
          <w:p>
            <w:pPr>
              <w:pStyle w:val="Compact"/>
            </w:pPr>
            <w:r>
              <w:t xml:space="preserve">Minimum controls for this platform</w:t>
            </w:r>
          </w:p>
        </w:tc>
        <w:tc>
          <w:tcPr/>
          <w:p>
            <w:pPr>
              <w:pStyle w:val="Compact"/>
            </w:pPr>
            <w:r>
              <w:t xml:space="preserve">Key references</w:t>
            </w:r>
          </w:p>
        </w:tc>
      </w:tr>
      <w:tr>
        <w:tc>
          <w:tcPr/>
          <w:p>
            <w:pPr>
              <w:pStyle w:val="Compact"/>
            </w:pPr>
            <w:r>
              <w:t xml:space="preserve">Identity &amp; authentication</w:t>
            </w:r>
          </w:p>
        </w:tc>
        <w:tc>
          <w:tcPr/>
          <w:p>
            <w:pPr>
              <w:pStyle w:val="Compact"/>
            </w:pPr>
            <w:r>
              <w:t xml:space="preserve">Central federation to IdP; MFA appropriate to risk; strong session management; unique accounts (no shared credentials)</w:t>
            </w:r>
          </w:p>
        </w:tc>
        <w:tc>
          <w:tcPr/>
          <w:p>
            <w:pPr>
              <w:pStyle w:val="Compact"/>
            </w:pPr>
            <w:hyperlink r:id="rId27">
              <w:r>
                <w:rPr>
                  <w:rStyle w:val="Hyperlink"/>
                </w:rPr>
                <w:t xml:space="preserve">[31]</w:t>
              </w:r>
            </w:hyperlink>
          </w:p>
        </w:tc>
      </w:tr>
      <w:tr>
        <w:tc>
          <w:tcPr/>
          <w:p>
            <w:pPr>
              <w:pStyle w:val="Compact"/>
            </w:pPr>
            <w:r>
              <w:t xml:space="preserve">Authorization (RBAC/ABAC)</w:t>
            </w:r>
          </w:p>
        </w:tc>
        <w:tc>
          <w:tcPr/>
          <w:p>
            <w:pPr>
              <w:pStyle w:val="Compact"/>
            </w:pPr>
            <w:r>
              <w:t xml:space="preserve">Least privilege; segregation of duties; policy tied to role + work context (area, shift, qualification); periodic access review</w:t>
            </w:r>
          </w:p>
        </w:tc>
        <w:tc>
          <w:tcPr/>
          <w:p>
            <w:pPr>
              <w:pStyle w:val="Compact"/>
            </w:pPr>
            <w:hyperlink r:id="rId49">
              <w:r>
                <w:rPr>
                  <w:rStyle w:val="Hyperlink"/>
                </w:rPr>
                <w:t xml:space="preserve">[32]</w:t>
              </w:r>
            </w:hyperlink>
          </w:p>
        </w:tc>
      </w:tr>
      <w:tr>
        <w:tc>
          <w:tcPr/>
          <w:p>
            <w:pPr>
              <w:pStyle w:val="Compact"/>
            </w:pPr>
            <w:r>
              <w:t xml:space="preserve">Network segmentation &amp; ZTNA</w:t>
            </w:r>
          </w:p>
        </w:tc>
        <w:tc>
          <w:tcPr/>
          <w:p>
            <w:pPr>
              <w:pStyle w:val="Compact"/>
            </w:pPr>
            <w:r>
              <w:t xml:space="preserve">Manufacturing zones segmented; broker/DMZ patterns for OT↔IT; ZTNA for remote/vendor access; explicit allowlists</w:t>
            </w:r>
          </w:p>
        </w:tc>
        <w:tc>
          <w:tcPr/>
          <w:p>
            <w:pPr>
              <w:pStyle w:val="Compact"/>
            </w:pPr>
            <w:hyperlink r:id="rId30">
              <w:r>
                <w:rPr>
                  <w:rStyle w:val="Hyperlink"/>
                </w:rPr>
                <w:t xml:space="preserve">[33]</w:t>
              </w:r>
            </w:hyperlink>
          </w:p>
        </w:tc>
      </w:tr>
      <w:tr>
        <w:tc>
          <w:tcPr/>
          <w:p>
            <w:pPr>
              <w:pStyle w:val="Compact"/>
            </w:pPr>
            <w:r>
              <w:t xml:space="preserve">Encryption in transit</w:t>
            </w:r>
          </w:p>
        </w:tc>
        <w:tc>
          <w:tcPr/>
          <w:p>
            <w:pPr>
              <w:pStyle w:val="Compact"/>
            </w:pPr>
            <w:r>
              <w:t xml:space="preserve">TLS everywhere; mTLS service-to-service; secure OT protocols/gateways where needed</w:t>
            </w:r>
          </w:p>
        </w:tc>
        <w:tc>
          <w:tcPr/>
          <w:p>
            <w:pPr>
              <w:pStyle w:val="Compact"/>
            </w:pPr>
            <w:hyperlink r:id="rId50">
              <w:r>
                <w:rPr>
                  <w:rStyle w:val="Hyperlink"/>
                </w:rPr>
                <w:t xml:space="preserve">[34]</w:t>
              </w:r>
            </w:hyperlink>
          </w:p>
        </w:tc>
      </w:tr>
      <w:tr>
        <w:tc>
          <w:tcPr/>
          <w:p>
            <w:pPr>
              <w:pStyle w:val="Compact"/>
            </w:pPr>
            <w:r>
              <w:t xml:space="preserve">Encryption at rest &amp; key management</w:t>
            </w:r>
          </w:p>
        </w:tc>
        <w:tc>
          <w:tcPr/>
          <w:p>
            <w:pPr>
              <w:pStyle w:val="Compact"/>
            </w:pPr>
            <w:r>
              <w:t xml:space="preserve">KMS/HSM-backed keys; rotation; separation of duties; cryptographic modules aligned to validated standards where required</w:t>
            </w:r>
          </w:p>
        </w:tc>
        <w:tc>
          <w:tcPr/>
          <w:p>
            <w:pPr>
              <w:pStyle w:val="Compact"/>
            </w:pPr>
            <w:hyperlink r:id="rId51">
              <w:r>
                <w:rPr>
                  <w:rStyle w:val="Hyperlink"/>
                </w:rPr>
                <w:t xml:space="preserve">[35]</w:t>
              </w:r>
            </w:hyperlink>
          </w:p>
        </w:tc>
      </w:tr>
      <w:tr>
        <w:tc>
          <w:tcPr/>
          <w:p>
            <w:pPr>
              <w:pStyle w:val="Compact"/>
            </w:pPr>
            <w:r>
              <w:t xml:space="preserve">Secrets management</w:t>
            </w:r>
          </w:p>
        </w:tc>
        <w:tc>
          <w:tcPr/>
          <w:p>
            <w:pPr>
              <w:pStyle w:val="Compact"/>
            </w:pPr>
            <w:r>
              <w:t xml:space="preserve">Central secrets vault; no secrets in code/images; short-lived tokens; audited access</w:t>
            </w:r>
          </w:p>
        </w:tc>
        <w:tc>
          <w:tcPr/>
          <w:p>
            <w:pPr>
              <w:pStyle w:val="Compact"/>
            </w:pPr>
            <w:hyperlink r:id="rId52">
              <w:r>
                <w:rPr>
                  <w:rStyle w:val="Hyperlink"/>
                </w:rPr>
                <w:t xml:space="preserve">[36]</w:t>
              </w:r>
            </w:hyperlink>
          </w:p>
        </w:tc>
      </w:tr>
      <w:tr>
        <w:tc>
          <w:tcPr/>
          <w:p>
            <w:pPr>
              <w:pStyle w:val="Compact"/>
            </w:pPr>
            <w:r>
              <w:t xml:space="preserve">Device security</w:t>
            </w:r>
          </w:p>
        </w:tc>
        <w:tc>
          <w:tcPr/>
          <w:p>
            <w:pPr>
              <w:pStyle w:val="Compact"/>
            </w:pPr>
            <w:r>
              <w:t xml:space="preserve">MDM/UEM; device attestation; secure boot/firmware resiliency; jailbreak/root detection; remote wipe</w:t>
            </w:r>
          </w:p>
        </w:tc>
        <w:tc>
          <w:tcPr/>
          <w:p>
            <w:pPr>
              <w:pStyle w:val="Compact"/>
            </w:pPr>
            <w:hyperlink r:id="rId53">
              <w:r>
                <w:rPr>
                  <w:rStyle w:val="Hyperlink"/>
                </w:rPr>
                <w:t xml:space="preserve">[37]</w:t>
              </w:r>
            </w:hyperlink>
          </w:p>
        </w:tc>
      </w:tr>
      <w:tr>
        <w:tc>
          <w:tcPr/>
          <w:p>
            <w:pPr>
              <w:pStyle w:val="Compact"/>
            </w:pPr>
            <w:r>
              <w:t xml:space="preserve">Vulnerability &amp; patch management</w:t>
            </w:r>
          </w:p>
        </w:tc>
        <w:tc>
          <w:tcPr/>
          <w:p>
            <w:pPr>
              <w:pStyle w:val="Compact"/>
            </w:pPr>
            <w:r>
              <w:t xml:space="preserve">Risk-based patching cadence; SBOM/secure SDLC; container hardening; continuous scanning; compensating controls for OT constraints</w:t>
            </w:r>
          </w:p>
        </w:tc>
        <w:tc>
          <w:tcPr/>
          <w:p>
            <w:pPr>
              <w:pStyle w:val="Compact"/>
            </w:pPr>
            <w:hyperlink r:id="rId54">
              <w:r>
                <w:rPr>
                  <w:rStyle w:val="Hyperlink"/>
                </w:rPr>
                <w:t xml:space="preserve">[38]</w:t>
              </w:r>
            </w:hyperlink>
          </w:p>
        </w:tc>
      </w:tr>
      <w:tr>
        <w:tc>
          <w:tcPr/>
          <w:p>
            <w:pPr>
              <w:pStyle w:val="Compact"/>
            </w:pPr>
            <w:r>
              <w:t xml:space="preserve">Audit logging &amp; monitoring</w:t>
            </w:r>
          </w:p>
        </w:tc>
        <w:tc>
          <w:tcPr/>
          <w:p>
            <w:pPr>
              <w:pStyle w:val="Compact"/>
            </w:pPr>
            <w:r>
              <w:t xml:space="preserve">Centralized log management; immutable security logs; time sync; SIEM integration; alerting on privileged actions and data changes</w:t>
            </w:r>
          </w:p>
        </w:tc>
        <w:tc>
          <w:tcPr/>
          <w:p>
            <w:pPr>
              <w:pStyle w:val="Compact"/>
            </w:pPr>
            <w:hyperlink r:id="rId55">
              <w:r>
                <w:rPr>
                  <w:rStyle w:val="Hyperlink"/>
                </w:rPr>
                <w:t xml:space="preserve">[39]</w:t>
              </w:r>
            </w:hyperlink>
          </w:p>
        </w:tc>
      </w:tr>
      <w:tr>
        <w:tc>
          <w:tcPr/>
          <w:p>
            <w:pPr>
              <w:pStyle w:val="Compact"/>
            </w:pPr>
            <w:r>
              <w:t xml:space="preserve">Incident response</w:t>
            </w:r>
          </w:p>
        </w:tc>
        <w:tc>
          <w:tcPr/>
          <w:p>
            <w:pPr>
              <w:pStyle w:val="Compact"/>
            </w:pPr>
            <w:r>
              <w:t xml:space="preserve">Documented IR plan with OT considerations; drills; forensics-ready logging; containment playbooks</w:t>
            </w:r>
          </w:p>
        </w:tc>
        <w:tc>
          <w:tcPr/>
          <w:p>
            <w:pPr>
              <w:pStyle w:val="Compact"/>
            </w:pPr>
            <w:hyperlink r:id="rId56">
              <w:r>
                <w:rPr>
                  <w:rStyle w:val="Hyperlink"/>
                </w:rPr>
                <w:t xml:space="preserve">[40]</w:t>
              </w:r>
            </w:hyperlink>
          </w:p>
        </w:tc>
      </w:tr>
    </w:tbl>
    <w:bookmarkEnd w:id="57"/>
    <w:bookmarkStart w:id="58" w:name="compliance-and-validation-mapping"/>
    <w:p>
      <w:pPr>
        <w:pStyle w:val="Heading3"/>
      </w:pPr>
      <w:r>
        <w:t xml:space="preserve">Compliance and validation mapping</w:t>
      </w:r>
    </w:p>
    <w:p>
      <w:pPr>
        <w:pStyle w:val="FirstParagraph"/>
      </w:pPr>
      <w:r>
        <w:t xml:space="preserve">Risk management across the lifecycle and maintaining systems in a valid state are explicit expectations for GMP computerized systems.</w:t>
      </w:r>
      <w:r>
        <w:t xml:space="preserve"> </w:t>
      </w:r>
      <w:hyperlink r:id="rId21">
        <w:r>
          <w:rPr>
            <w:rStyle w:val="Hyperlink"/>
          </w:rPr>
          <w:t xml:space="preserve">[25]</w:t>
        </w:r>
      </w:hyperlink>
      <w:r>
        <w:t xml:space="preserve"> </w:t>
      </w:r>
      <w:r>
        <w:t xml:space="preserve">Data integrity guidance emphasizes attributable, contemporaneous documentation, authorized changes, and traceable modifications.</w:t>
      </w:r>
      <w:r>
        <w:t xml:space="preserve"> </w:t>
      </w:r>
      <w:hyperlink r:id="rId35">
        <w:r>
          <w:rPr>
            <w:rStyle w:val="Hyperlink"/>
          </w:rPr>
          <w:t xml:space="preserve">[41]</w:t>
        </w:r>
      </w:hyperlink>
    </w:p>
    <w:p>
      <w:pPr>
        <w:pStyle w:val="BodyText"/>
      </w:pPr>
      <w:r>
        <w:rPr>
          <w:b/>
          <w:bCs/>
        </w:rPr>
        <w:t xml:space="preserve">Compliance checklist (Part 11 / Annex 11 / data integrity)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area</w:t>
            </w:r>
          </w:p>
        </w:tc>
        <w:tc>
          <w:tcPr/>
          <w:p>
            <w:pPr>
              <w:pStyle w:val="Compact"/>
            </w:pPr>
            <w:r>
              <w:t xml:space="preserve">Implementation requirement in this design</w:t>
            </w:r>
          </w:p>
        </w:tc>
        <w:tc>
          <w:tcPr/>
          <w:p>
            <w:pPr>
              <w:pStyle w:val="Compact"/>
            </w:pPr>
            <w:r>
              <w:t xml:space="preserve">Evidence artifacts to plan</w:t>
            </w:r>
          </w:p>
        </w:tc>
      </w:tr>
      <w:tr>
        <w:tc>
          <w:tcPr/>
          <w:p>
            <w:pPr>
              <w:pStyle w:val="Compact"/>
            </w:pPr>
            <w:r>
              <w:t xml:space="preserve">Validation &amp; lifecycle control</w:t>
            </w:r>
          </w:p>
        </w:tc>
        <w:tc>
          <w:tcPr/>
          <w:p>
            <w:pPr>
              <w:pStyle w:val="Compact"/>
            </w:pPr>
            <w:r>
              <w:t xml:space="preserve">Risk-based validation; infrastructure qualification; controlled configs</w:t>
            </w:r>
          </w:p>
        </w:tc>
        <w:tc>
          <w:tcPr/>
          <w:p>
            <w:pPr>
              <w:pStyle w:val="Compact"/>
            </w:pPr>
            <w:r>
              <w:t xml:space="preserve">URS/FRS/DS; IQ/OQ/PQ or CSA equivalents; trace matrix</w:t>
            </w:r>
            <w:r>
              <w:t xml:space="preserve"> </w:t>
            </w:r>
            <w:hyperlink r:id="rId21">
              <w:r>
                <w:rPr>
                  <w:rStyle w:val="Hyperlink"/>
                </w:rPr>
                <w:t xml:space="preserve">[42]</w:t>
              </w:r>
            </w:hyperlink>
          </w:p>
        </w:tc>
      </w:tr>
      <w:tr>
        <w:tc>
          <w:tcPr/>
          <w:p>
            <w:pPr>
              <w:pStyle w:val="Compact"/>
            </w:pPr>
            <w:r>
              <w:t xml:space="preserve">Audit trails</w:t>
            </w:r>
          </w:p>
        </w:tc>
        <w:tc>
          <w:tcPr/>
          <w:p>
            <w:pPr>
              <w:pStyle w:val="Compact"/>
            </w:pPr>
            <w:r>
              <w:t xml:space="preserve">System-generated audit trails for GMP-relevant changes/deletions; reasons captured; review process</w:t>
            </w:r>
          </w:p>
        </w:tc>
        <w:tc>
          <w:tcPr/>
          <w:p>
            <w:pPr>
              <w:pStyle w:val="Compact"/>
            </w:pPr>
            <w:r>
              <w:t xml:space="preserve">Audit trail spec; review SOP; periodic review records</w:t>
            </w:r>
            <w:r>
              <w:t xml:space="preserve"> </w:t>
            </w:r>
            <w:hyperlink r:id="rId21">
              <w:r>
                <w:rPr>
                  <w:rStyle w:val="Hyperlink"/>
                </w:rPr>
                <w:t xml:space="preserve">[29]</w:t>
              </w:r>
            </w:hyperlink>
          </w:p>
        </w:tc>
      </w:tr>
      <w:tr>
        <w:tc>
          <w:tcPr/>
          <w:p>
            <w:pPr>
              <w:pStyle w:val="Compact"/>
            </w:pPr>
            <w:r>
              <w:t xml:space="preserve">Access control</w:t>
            </w:r>
          </w:p>
        </w:tc>
        <w:tc>
          <w:tcPr/>
          <w:p>
            <w:pPr>
              <w:pStyle w:val="Compact"/>
            </w:pPr>
            <w:r>
              <w:t xml:space="preserve">Restrict access to authorized persons; record creation/change/cancellation of authorizations</w:t>
            </w:r>
          </w:p>
        </w:tc>
        <w:tc>
          <w:tcPr/>
          <w:p>
            <w:pPr>
              <w:pStyle w:val="Compact"/>
            </w:pPr>
            <w:r>
              <w:t xml:space="preserve">Access model; access review logs; provisioning/deprovisioning tickets</w:t>
            </w:r>
            <w:r>
              <w:t xml:space="preserve"> </w:t>
            </w:r>
            <w:hyperlink r:id="rId21">
              <w:r>
                <w:rPr>
                  <w:rStyle w:val="Hyperlink"/>
                </w:rPr>
                <w:t xml:space="preserve">[43]</w:t>
              </w:r>
            </w:hyperlink>
          </w:p>
        </w:tc>
      </w:tr>
      <w:tr>
        <w:tc>
          <w:tcPr/>
          <w:p>
            <w:pPr>
              <w:pStyle w:val="Compact"/>
            </w:pPr>
            <w:r>
              <w:t xml:space="preserve">Operator identity/time capture</w:t>
            </w:r>
          </w:p>
        </w:tc>
        <w:tc>
          <w:tcPr/>
          <w:p>
            <w:pPr>
              <w:pStyle w:val="Compact"/>
            </w:pPr>
            <w:r>
              <w:t xml:space="preserve">Record identity of operators entering/changing/confirming/deleting data, incl. date/time</w:t>
            </w:r>
          </w:p>
        </w:tc>
        <w:tc>
          <w:tcPr/>
          <w:p>
            <w:pPr>
              <w:pStyle w:val="Compact"/>
            </w:pPr>
            <w:r>
              <w:t xml:space="preserve">Audit event schema; time-source design; log retention</w:t>
            </w:r>
            <w:r>
              <w:t xml:space="preserve"> </w:t>
            </w:r>
            <w:hyperlink r:id="rId21">
              <w:r>
                <w:rPr>
                  <w:rStyle w:val="Hyperlink"/>
                </w:rPr>
                <w:t xml:space="preserve">[18]</w:t>
              </w:r>
            </w:hyperlink>
          </w:p>
        </w:tc>
      </w:tr>
      <w:tr>
        <w:tc>
          <w:tcPr/>
          <w:p>
            <w:pPr>
              <w:pStyle w:val="Compact"/>
            </w:pPr>
            <w:r>
              <w:t xml:space="preserve">Electronic signatures</w:t>
            </w:r>
          </w:p>
        </w:tc>
        <w:tc>
          <w:tcPr/>
          <w:p>
            <w:pPr>
              <w:pStyle w:val="Compact"/>
            </w:pPr>
            <w:r>
              <w:t xml:space="preserve">Signature uniquely linked to record; includes time/date; signature manifestations and linkage</w:t>
            </w:r>
          </w:p>
        </w:tc>
        <w:tc>
          <w:tcPr/>
          <w:p>
            <w:pPr>
              <w:pStyle w:val="Compact"/>
            </w:pPr>
            <w:r>
              <w:t xml:space="preserve">Signature policy; e-signature implementation spec; tests</w:t>
            </w:r>
            <w:r>
              <w:t xml:space="preserve"> </w:t>
            </w:r>
            <w:hyperlink r:id="rId21">
              <w:r>
                <w:rPr>
                  <w:rStyle w:val="Hyperlink"/>
                </w:rPr>
                <w:t xml:space="preserve">[44]</w:t>
              </w:r>
            </w:hyperlink>
          </w:p>
        </w:tc>
      </w:tr>
      <w:tr>
        <w:tc>
          <w:tcPr/>
          <w:p>
            <w:pPr>
              <w:pStyle w:val="Compact"/>
            </w:pPr>
            <w:r>
              <w:t xml:space="preserve">Data integrity (ALCOA+)</w:t>
            </w:r>
          </w:p>
        </w:tc>
        <w:tc>
          <w:tcPr/>
          <w:p>
            <w:pPr>
              <w:pStyle w:val="Compact"/>
            </w:pPr>
            <w:r>
              <w:t xml:space="preserve">Attributable/legible/contemporaneous/original/accurate + complete/consistent/enduring/available</w:t>
            </w:r>
          </w:p>
        </w:tc>
        <w:tc>
          <w:tcPr/>
          <w:p>
            <w:pPr>
              <w:pStyle w:val="Compact"/>
            </w:pPr>
            <w:r>
              <w:t xml:space="preserve">Data governance SOP; integrity risk assessment; monitoring</w:t>
            </w:r>
            <w:r>
              <w:t xml:space="preserve"> </w:t>
            </w:r>
            <w:hyperlink r:id="rId40">
              <w:r>
                <w:rPr>
                  <w:rStyle w:val="Hyperlink"/>
                </w:rPr>
                <w:t xml:space="preserve">[45]</w:t>
              </w:r>
            </w:hyperlink>
          </w:p>
        </w:tc>
      </w:tr>
      <w:tr>
        <w:tc>
          <w:tcPr/>
          <w:p>
            <w:pPr>
              <w:pStyle w:val="Compact"/>
            </w:pPr>
            <w:r>
              <w:t xml:space="preserve">Record retention &amp; availability</w:t>
            </w:r>
          </w:p>
        </w:tc>
        <w:tc>
          <w:tcPr/>
          <w:p>
            <w:pPr>
              <w:pStyle w:val="Compact"/>
            </w:pPr>
            <w:r>
              <w:t xml:space="preserve">Retention per predicate rules; records readily available for inspection during retention</w:t>
            </w:r>
          </w:p>
        </w:tc>
        <w:tc>
          <w:tcPr/>
          <w:p>
            <w:pPr>
              <w:pStyle w:val="Compact"/>
            </w:pPr>
            <w:r>
              <w:t xml:space="preserve">Retention schedule; archival/restore proof; inspection playbook</w:t>
            </w:r>
            <w:r>
              <w:t xml:space="preserve"> </w:t>
            </w:r>
            <w:hyperlink r:id="rId28">
              <w:r>
                <w:rPr>
                  <w:rStyle w:val="Hyperlink"/>
                </w:rPr>
                <w:t xml:space="preserve">[46]</w:t>
              </w:r>
            </w:hyperlink>
          </w:p>
        </w:tc>
      </w:tr>
      <w:tr>
        <w:tc>
          <w:tcPr/>
          <w:p>
            <w:pPr>
              <w:pStyle w:val="Compact"/>
            </w:pPr>
            <w:r>
              <w:t xml:space="preserve">Print/inspection copies</w:t>
            </w:r>
          </w:p>
        </w:tc>
        <w:tc>
          <w:tcPr/>
          <w:p>
            <w:pPr>
              <w:pStyle w:val="Compact"/>
            </w:pPr>
            <w:r>
              <w:t xml:space="preserve">Ability to produce clear copies and show if data changed since original entry (where applicable)</w:t>
            </w:r>
          </w:p>
        </w:tc>
        <w:tc>
          <w:tcPr/>
          <w:p>
            <w:pPr>
              <w:pStyle w:val="Compact"/>
            </w:pPr>
            <w:r>
              <w:t xml:space="preserve">Reporting/export qualification; controlled formats</w:t>
            </w:r>
            <w:r>
              <w:t xml:space="preserve"> </w:t>
            </w:r>
            <w:hyperlink r:id="rId21">
              <w:r>
                <w:rPr>
                  <w:rStyle w:val="Hyperlink"/>
                </w:rPr>
                <w:t xml:space="preserve">[29]</w:t>
              </w:r>
            </w:hyperlink>
          </w:p>
        </w:tc>
      </w:tr>
      <w:tr>
        <w:tc>
          <w:tcPr/>
          <w:p>
            <w:pPr>
              <w:pStyle w:val="Compact"/>
            </w:pPr>
            <w:r>
              <w:t xml:space="preserve">Supplier oversight</w:t>
            </w:r>
          </w:p>
        </w:tc>
        <w:tc>
          <w:tcPr/>
          <w:p>
            <w:pPr>
              <w:pStyle w:val="Compact"/>
            </w:pPr>
            <w:r>
              <w:t xml:space="preserve">Quality agreements for vendors/cloud/service providers; auditability</w:t>
            </w:r>
          </w:p>
        </w:tc>
        <w:tc>
          <w:tcPr/>
          <w:p>
            <w:pPr>
              <w:pStyle w:val="Compact"/>
            </w:pPr>
            <w:r>
              <w:t xml:space="preserve">Supplier assessment; QAA; SLA/SLO; audit reports</w:t>
            </w:r>
            <w:r>
              <w:t xml:space="preserve"> </w:t>
            </w:r>
            <w:hyperlink r:id="rId21">
              <w:r>
                <w:rPr>
                  <w:rStyle w:val="Hyperlink"/>
                </w:rPr>
                <w:t xml:space="preserve">[25]</w:t>
              </w:r>
            </w:hyperlink>
          </w:p>
        </w:tc>
      </w:tr>
      <w:tr>
        <w:tc>
          <w:tcPr/>
          <w:p>
            <w:pPr>
              <w:pStyle w:val="Compact"/>
            </w:pPr>
            <w:r>
              <w:t xml:space="preserve">Change control &amp; periodic review</w:t>
            </w:r>
          </w:p>
        </w:tc>
        <w:tc>
          <w:tcPr/>
          <w:p>
            <w:pPr>
              <w:pStyle w:val="Compact"/>
            </w:pPr>
            <w:r>
              <w:t xml:space="preserve">Controlled change/config management; periodic evaluation of validated state</w:t>
            </w:r>
          </w:p>
        </w:tc>
        <w:tc>
          <w:tcPr/>
          <w:p>
            <w:pPr>
              <w:pStyle w:val="Compact"/>
            </w:pPr>
            <w:r>
              <w:t xml:space="preserve">Change control SOP; release records; periodic review reports</w:t>
            </w:r>
            <w:r>
              <w:t xml:space="preserve"> </w:t>
            </w:r>
            <w:hyperlink r:id="rId21">
              <w:r>
                <w:rPr>
                  <w:rStyle w:val="Hyperlink"/>
                </w:rPr>
                <w:t xml:space="preserve">[47]</w:t>
              </w:r>
            </w:hyperlink>
          </w:p>
        </w:tc>
      </w:tr>
    </w:tbl>
    <w:bookmarkEnd w:id="58"/>
    <w:bookmarkEnd w:id="59"/>
    <w:bookmarkStart w:id="65" w:name="scalability-availability-and-operations"/>
    <w:p>
      <w:pPr>
        <w:pStyle w:val="Heading2"/>
      </w:pPr>
      <w:r>
        <w:t xml:space="preserve">Scalability, availability, and operations</w:t>
      </w:r>
    </w:p>
    <w:bookmarkStart w:id="62" w:name="Xab93e596339a7ca792cce5b10979b62b4b17691"/>
    <w:p>
      <w:pPr>
        <w:pStyle w:val="Heading3"/>
      </w:pPr>
      <w:r>
        <w:t xml:space="preserve">Scalability and high availability blueprint</w:t>
      </w:r>
    </w:p>
    <w:p>
      <w:pPr>
        <w:pStyle w:val="FirstParagraph"/>
      </w:pPr>
      <w:r>
        <w:t xml:space="preserve">A microservices + container approach can support independent scaling of workflow execution, policy enforcement, and integration adapters, but container security must be explicitly addressed.</w:t>
      </w:r>
      <w:r>
        <w:t xml:space="preserve"> </w:t>
      </w:r>
      <w:hyperlink r:id="rId60">
        <w:r>
          <w:rPr>
            <w:rStyle w:val="Hyperlink"/>
          </w:rPr>
          <w:t xml:space="preserve">[48]</w:t>
        </w:r>
      </w:hyperlink>
      <w:r>
        <w:t xml:space="preserve"> </w:t>
      </w:r>
      <w:r>
        <w:t xml:space="preserve">For service-to-service security and east/west traffic controls, a service mesh pattern is a recognized approach for microservices security infrastructure.</w:t>
      </w:r>
      <w:r>
        <w:t xml:space="preserve"> </w:t>
      </w:r>
      <w:hyperlink r:id="rId61">
        <w:r>
          <w:rPr>
            <w:rStyle w:val="Hyperlink"/>
          </w:rPr>
          <w:t xml:space="preserve">[49]</w:t>
        </w:r>
      </w:hyperlink>
    </w:p>
    <w:p>
      <w:pPr>
        <w:pStyle w:val="BodyText"/>
      </w:pPr>
      <w:r>
        <w:rPr>
          <w:b/>
          <w:bCs/>
        </w:rPr>
        <w:t xml:space="preserve">Recommended (technology-agnostic) design targets (all unspecified unless confirmed):</w:t>
      </w:r>
      <w:r>
        <w:t xml:space="preserve"> </w:t>
      </w:r>
      <w:r>
        <w:t xml:space="preserve">- Horizontal autoscaling for stateless services; isolate integration adapters to protect system-of-record performance.</w:t>
      </w:r>
      <w:r>
        <w:t xml:space="preserve"> </w:t>
      </w:r>
      <w:r>
        <w:t xml:space="preserve">- Active-active in-region for core services; multi-region optional based on RTO/RPO (unspecified).</w:t>
      </w:r>
      <w:r>
        <w:t xml:space="preserve"> </w:t>
      </w:r>
      <w:r>
        <w:t xml:space="preserve">- DR: predefined runbooks; routine restore testing; verify log/audit continuity. (Incident/periodic evaluation expectations align with continuous assessment of security/valid state.)</w:t>
      </w:r>
      <w:r>
        <w:t xml:space="preserve"> </w:t>
      </w:r>
      <w:hyperlink r:id="rId21">
        <w:r>
          <w:rPr>
            <w:rStyle w:val="Hyperlink"/>
          </w:rPr>
          <w:t xml:space="preserve">[50]</w:t>
        </w:r>
      </w:hyperlink>
    </w:p>
    <w:bookmarkEnd w:id="62"/>
    <w:bookmarkStart w:id="63" w:name="operational-controls"/>
    <w:p>
      <w:pPr>
        <w:pStyle w:val="Heading3"/>
      </w:pPr>
      <w:r>
        <w:t xml:space="preserve">Operational controls</w:t>
      </w:r>
    </w:p>
    <w:p>
      <w:pPr>
        <w:pStyle w:val="FirstParagraph"/>
      </w:pPr>
      <w:r>
        <w:t xml:space="preserve">Operational controls should support: periodic evaluation, security status, and incident handling, consistent with GMP expectations for ongoing control and NIST operational guidance.</w:t>
      </w:r>
      <w:r>
        <w:t xml:space="preserve"> </w:t>
      </w:r>
      <w:hyperlink r:id="rId21">
        <w:r>
          <w:rPr>
            <w:rStyle w:val="Hyperlink"/>
          </w:rPr>
          <w:t xml:space="preserve">[51]</w:t>
        </w:r>
      </w:hyperlink>
    </w:p>
    <w:p>
      <w:pPr>
        <w:pStyle w:val="BodyText"/>
      </w:pPr>
      <w:r>
        <w:t xml:space="preserve">Minimum operating model:</w:t>
      </w:r>
      <w:r>
        <w:t xml:space="preserve"> </w:t>
      </w:r>
      <w:r>
        <w:t xml:space="preserve">- Monitoring: golden signals + synthetic workflow tests + integration health.</w:t>
      </w:r>
      <w:r>
        <w:t xml:space="preserve"> </w:t>
      </w:r>
      <w:r>
        <w:t xml:space="preserve">- Logging: centralized, time-synchronized, tamper-resistant logs; SIEM forwarding.</w:t>
      </w:r>
      <w:r>
        <w:t xml:space="preserve"> </w:t>
      </w:r>
      <w:hyperlink r:id="rId55">
        <w:r>
          <w:rPr>
            <w:rStyle w:val="Hyperlink"/>
          </w:rPr>
          <w:t xml:space="preserve">[52]</w:t>
        </w:r>
      </w:hyperlink>
      <w:r>
        <w:t xml:space="preserve"> </w:t>
      </w:r>
      <w:r>
        <w:t xml:space="preserve">- Incident response: playbooks for identity compromise, device compromise, integration failures, and data integrity anomalies.</w:t>
      </w:r>
      <w:r>
        <w:t xml:space="preserve"> </w:t>
      </w:r>
      <w:hyperlink r:id="rId56">
        <w:r>
          <w:rPr>
            <w:rStyle w:val="Hyperlink"/>
          </w:rPr>
          <w:t xml:space="preserve">[53]</w:t>
        </w:r>
      </w:hyperlink>
      <w:r>
        <w:t xml:space="preserve"> </w:t>
      </w:r>
      <w:r>
        <w:t xml:space="preserve">- Backup/restore: focus on platform configuration, audit metadata, and queues (since authoritative records are in SoRs), with restore tests.</w:t>
      </w:r>
      <w:r>
        <w:t xml:space="preserve"> </w:t>
      </w:r>
      <w:hyperlink r:id="rId28">
        <w:r>
          <w:rPr>
            <w:rStyle w:val="Hyperlink"/>
          </w:rPr>
          <w:t xml:space="preserve">[12]</w:t>
        </w:r>
      </w:hyperlink>
      <w:r>
        <w:t xml:space="preserve"> </w:t>
      </w:r>
      <w:r>
        <w:t xml:space="preserve">- Change control: controlled releases; validated deployment pipelines; environment parity; patch planning.</w:t>
      </w:r>
      <w:r>
        <w:t xml:space="preserve"> </w:t>
      </w:r>
      <w:hyperlink r:id="rId21">
        <w:r>
          <w:rPr>
            <w:rStyle w:val="Hyperlink"/>
          </w:rPr>
          <w:t xml:space="preserve">[54]</w:t>
        </w:r>
      </w:hyperlink>
    </w:p>
    <w:bookmarkEnd w:id="63"/>
    <w:bookmarkStart w:id="64" w:name="deployment-options-comparison"/>
    <w:p>
      <w:pPr>
        <w:pStyle w:val="Heading3"/>
      </w:pPr>
      <w:r>
        <w:t xml:space="preserve">Deployment options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Fit</w:t>
            </w:r>
          </w:p>
        </w:tc>
        <w:tc>
          <w:tcPr/>
          <w:p>
            <w:pPr>
              <w:pStyle w:val="Compact"/>
            </w:pPr>
            <w:r>
              <w:t xml:space="preserve">Strengths</w:t>
            </w:r>
          </w:p>
        </w:tc>
        <w:tc>
          <w:tcPr/>
          <w:p>
            <w:pPr>
              <w:pStyle w:val="Compact"/>
            </w:pPr>
            <w:r>
              <w:t xml:space="preserve">Constraints / risks</w:t>
            </w:r>
          </w:p>
        </w:tc>
      </w:tr>
      <w:tr>
        <w:tc>
          <w:tcPr/>
          <w:p>
            <w:pPr>
              <w:pStyle w:val="Compact"/>
            </w:pPr>
            <w:r>
              <w:t xml:space="preserve">On-prem (site data center)</w:t>
            </w:r>
          </w:p>
        </w:tc>
        <w:tc>
          <w:tcPr/>
          <w:p>
            <w:pPr>
              <w:pStyle w:val="Compact"/>
            </w:pPr>
            <w:r>
              <w:t xml:space="preserve">Strong for strict OT adjacency</w:t>
            </w:r>
          </w:p>
        </w:tc>
        <w:tc>
          <w:tcPr/>
          <w:p>
            <w:pPr>
              <w:pStyle w:val="Compact"/>
            </w:pPr>
            <w:r>
              <w:t xml:space="preserve">Lowest latency to OT; easier air-gap</w:t>
            </w:r>
          </w:p>
        </w:tc>
        <w:tc>
          <w:tcPr/>
          <w:p>
            <w:pPr>
              <w:pStyle w:val="Compact"/>
            </w:pPr>
            <w:r>
              <w:t xml:space="preserve">Capacity planning; slower elasticity; higher ops burden (unspecified)</w:t>
            </w:r>
          </w:p>
        </w:tc>
      </w:tr>
      <w:tr>
        <w:tc>
          <w:tcPr/>
          <w:p>
            <w:pPr>
              <w:pStyle w:val="Compact"/>
            </w:pPr>
            <w:r>
              <w:t xml:space="preserve">Cloud (public)</w:t>
            </w:r>
          </w:p>
        </w:tc>
        <w:tc>
          <w:tcPr/>
          <w:p>
            <w:pPr>
              <w:pStyle w:val="Compact"/>
            </w:pPr>
            <w:r>
              <w:t xml:space="preserve">Strong for multi-site scale if allowed</w:t>
            </w:r>
          </w:p>
        </w:tc>
        <w:tc>
          <w:tcPr/>
          <w:p>
            <w:pPr>
              <w:pStyle w:val="Compact"/>
            </w:pPr>
            <w:r>
              <w:t xml:space="preserve">Elastic scale; managed security tooling; rapid DR</w:t>
            </w:r>
          </w:p>
        </w:tc>
        <w:tc>
          <w:tcPr/>
          <w:p>
            <w:pPr>
              <w:pStyle w:val="Compact"/>
            </w:pPr>
            <w:r>
              <w:t xml:space="preserve">Requires strong supplier management and network controls; regulatory validation impact (scope depends)</w:t>
            </w:r>
            <w:r>
              <w:t xml:space="preserve"> </w:t>
            </w:r>
            <w:hyperlink r:id="rId21">
              <w:r>
                <w:rPr>
                  <w:rStyle w:val="Hyperlink"/>
                </w:rPr>
                <w:t xml:space="preserve">[25]</w:t>
              </w:r>
            </w:hyperlink>
          </w:p>
        </w:tc>
      </w:tr>
      <w:tr>
        <w:tc>
          <w:tcPr/>
          <w:p>
            <w:pPr>
              <w:pStyle w:val="Compact"/>
            </w:pPr>
            <w:r>
              <w:t xml:space="preserve">Hybrid</w:t>
            </w:r>
          </w:p>
        </w:tc>
        <w:tc>
          <w:tcPr/>
          <w:p>
            <w:pPr>
              <w:pStyle w:val="Compact"/>
            </w:pPr>
            <w:r>
              <w:t xml:space="preserve">Often best for GMP manufacturing</w:t>
            </w:r>
          </w:p>
        </w:tc>
        <w:tc>
          <w:tcPr/>
          <w:p>
            <w:pPr>
              <w:pStyle w:val="Compact"/>
            </w:pPr>
            <w:r>
              <w:t xml:space="preserve">Keep OT-near components on-prem; central cloud for orchestration/analytics</w:t>
            </w:r>
          </w:p>
        </w:tc>
        <w:tc>
          <w:tcPr/>
          <w:p>
            <w:pPr>
              <w:pStyle w:val="Compact"/>
            </w:pPr>
            <w:r>
              <w:t xml:space="preserve">Integration complexity; identity and audit consistency challenges</w:t>
            </w:r>
          </w:p>
        </w:tc>
      </w:tr>
      <w:tr>
        <w:tc>
          <w:tcPr/>
          <w:p>
            <w:pPr>
              <w:pStyle w:val="Compact"/>
            </w:pPr>
            <w:r>
              <w:t xml:space="preserve">Air-gapped / restricted network</w:t>
            </w:r>
          </w:p>
        </w:tc>
        <w:tc>
          <w:tcPr/>
          <w:p>
            <w:pPr>
              <w:pStyle w:val="Compact"/>
            </w:pPr>
            <w:r>
              <w:t xml:space="preserve">Needed in some plants</w:t>
            </w:r>
          </w:p>
        </w:tc>
        <w:tc>
          <w:tcPr/>
          <w:p>
            <w:pPr>
              <w:pStyle w:val="Compact"/>
            </w:pPr>
            <w:r>
              <w:t xml:space="preserve">Reduces external exposure</w:t>
            </w:r>
          </w:p>
        </w:tc>
        <w:tc>
          <w:tcPr/>
          <w:p>
            <w:pPr>
              <w:pStyle w:val="Compact"/>
            </w:pPr>
            <w:r>
              <w:t xml:space="preserve">Patch/update difficulty; constrained identity federation; mobile workflow complexity (offline implications)</w:t>
            </w:r>
            <w:r>
              <w:t xml:space="preserve"> </w:t>
            </w:r>
            <w:hyperlink r:id="rId30">
              <w:r>
                <w:rPr>
                  <w:rStyle w:val="Hyperlink"/>
                </w:rPr>
                <w:t xml:space="preserve">[55]</w:t>
              </w:r>
            </w:hyperlink>
          </w:p>
        </w:tc>
      </w:tr>
    </w:tbl>
    <w:bookmarkEnd w:id="64"/>
    <w:bookmarkEnd w:id="65"/>
    <w:bookmarkStart w:id="70" w:name="migration-costeffort-and-risk-register"/>
    <w:p>
      <w:pPr>
        <w:pStyle w:val="Heading2"/>
      </w:pPr>
      <w:r>
        <w:t xml:space="preserve">Migration, cost/effort, and risk register</w:t>
      </w:r>
    </w:p>
    <w:bookmarkStart w:id="66" w:name="coexistence-and-migration-outline"/>
    <w:p>
      <w:pPr>
        <w:pStyle w:val="Heading3"/>
      </w:pPr>
      <w:r>
        <w:t xml:space="preserve">Coexistence and migration outline</w:t>
      </w:r>
    </w:p>
    <w:p>
      <w:pPr>
        <w:pStyle w:val="FirstParagraph"/>
      </w:pPr>
      <w:r>
        <w:t xml:space="preserve">EU GMP computerized systems guidance anticipates controlled change and maintaining quality/risk posture when replacing manual operations.</w:t>
      </w:r>
      <w:r>
        <w:t xml:space="preserve"> </w:t>
      </w:r>
      <w:hyperlink r:id="rId21">
        <w:r>
          <w:rPr>
            <w:rStyle w:val="Hyperlink"/>
          </w:rPr>
          <w:t xml:space="preserve">[25]</w:t>
        </w:r>
      </w:hyperlink>
      <w:r>
        <w:t xml:space="preserve"> </w:t>
      </w:r>
      <w:r>
        <w:t xml:space="preserve">A practical migration that avoids “new shadow records”:</w:t>
      </w:r>
    </w:p>
    <w:p>
      <w:pPr>
        <w:pStyle w:val="Compact"/>
        <w:numPr>
          <w:ilvl w:val="0"/>
          <w:numId w:val="1003"/>
        </w:numPr>
      </w:pPr>
      <w:r>
        <w:rPr>
          <w:b/>
          <w:bCs/>
        </w:rPr>
        <w:t xml:space="preserve">Foundation</w:t>
      </w:r>
      <w:r>
        <w:t xml:space="preserve">: identity/MFA, device management, ZTNA, baseline audit logging, integration backbone, and environment qualification.</w:t>
      </w:r>
      <w:r>
        <w:t xml:space="preserve"> </w:t>
      </w:r>
      <w:hyperlink r:id="rId27">
        <w:r>
          <w:rPr>
            <w:rStyle w:val="Hyperlink"/>
          </w:rPr>
          <w:t xml:space="preserve">[56]</w:t>
        </w:r>
      </w:hyperlink>
    </w:p>
    <w:p>
      <w:pPr>
        <w:pStyle w:val="Compact"/>
        <w:numPr>
          <w:ilvl w:val="0"/>
          <w:numId w:val="1003"/>
        </w:numPr>
      </w:pPr>
      <w:r>
        <w:rPr>
          <w:b/>
          <w:bCs/>
        </w:rPr>
        <w:t xml:space="preserve">Read-only pilot</w:t>
      </w:r>
      <w:r>
        <w:t xml:space="preserve">: procedures rendered from controlled documents + read-only context pulls from MES/LIMS/EAMS (no write-back yet). Validate integrity of version control and viewing controls.</w:t>
      </w:r>
      <w:r>
        <w:t xml:space="preserve"> </w:t>
      </w:r>
      <w:hyperlink r:id="rId21">
        <w:r>
          <w:rPr>
            <w:rStyle w:val="Hyperlink"/>
          </w:rPr>
          <w:t xml:space="preserve">[57]</w:t>
        </w:r>
      </w:hyperlink>
    </w:p>
    <w:p>
      <w:pPr>
        <w:pStyle w:val="Compact"/>
        <w:numPr>
          <w:ilvl w:val="0"/>
          <w:numId w:val="1003"/>
        </w:numPr>
      </w:pPr>
      <w:r>
        <w:rPr>
          <w:b/>
          <w:bCs/>
        </w:rPr>
        <w:t xml:space="preserve">Single-system write-back</w:t>
      </w:r>
      <w:r>
        <w:t xml:space="preserve">: choose one SoR (commonly QMS intake or EAMS completion) and implement transactional write-back with receipts and reconciliation.</w:t>
      </w:r>
      <w:r>
        <w:t xml:space="preserve"> </w:t>
      </w:r>
      <w:hyperlink r:id="rId35">
        <w:r>
          <w:rPr>
            <w:rStyle w:val="Hyperlink"/>
          </w:rPr>
          <w:t xml:space="preserve">[58]</w:t>
        </w:r>
      </w:hyperlink>
    </w:p>
    <w:p>
      <w:pPr>
        <w:pStyle w:val="Compact"/>
        <w:numPr>
          <w:ilvl w:val="0"/>
          <w:numId w:val="1003"/>
        </w:numPr>
      </w:pPr>
      <w:r>
        <w:rPr>
          <w:b/>
          <w:bCs/>
        </w:rPr>
        <w:t xml:space="preserve">Multi-system orchestration</w:t>
      </w:r>
      <w:r>
        <w:t xml:space="preserve">: sampling and batch workflows that require coordinated commits (MES-LIMS-QMS) with defined “system of record per field.”</w:t>
      </w:r>
    </w:p>
    <w:p>
      <w:pPr>
        <w:pStyle w:val="Compact"/>
        <w:numPr>
          <w:ilvl w:val="0"/>
          <w:numId w:val="1003"/>
        </w:numPr>
      </w:pPr>
      <w:r>
        <w:rPr>
          <w:b/>
          <w:bCs/>
        </w:rPr>
        <w:t xml:space="preserve">Scale-out</w:t>
      </w:r>
      <w:r>
        <w:t xml:space="preserve">: add additional lines/areas/sites, with performance tests and periodic review program.</w:t>
      </w:r>
      <w:r>
        <w:t xml:space="preserve"> </w:t>
      </w:r>
      <w:hyperlink r:id="rId21">
        <w:r>
          <w:rPr>
            <w:rStyle w:val="Hyperlink"/>
          </w:rPr>
          <w:t xml:space="preserve">[47]</w:t>
        </w:r>
      </w:hyperlink>
    </w:p>
    <w:bookmarkEnd w:id="66"/>
    <w:bookmarkStart w:id="67" w:name="concise-costeffort-estimate-rom"/>
    <w:p>
      <w:pPr>
        <w:pStyle w:val="Heading3"/>
      </w:pPr>
      <w:r>
        <w:t xml:space="preserve">Concise cost/effort estimate (ROM)</w:t>
      </w:r>
    </w:p>
    <w:p>
      <w:pPr>
        <w:pStyle w:val="FirstParagraph"/>
      </w:pPr>
      <w:r>
        <w:t xml:space="preserve">Because scope drivers are unspecified (number of workflows, integrations, sites, offline requirements, validation depth), the estimate is expressed as</w:t>
      </w:r>
      <w:r>
        <w:t xml:space="preserve"> </w:t>
      </w:r>
      <w:r>
        <w:rPr>
          <w:b/>
          <w:bCs/>
        </w:rPr>
        <w:t xml:space="preserve">order-of-magnitude work effort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jc w:val="right"/>
            </w:pPr>
            <w:r>
              <w:t xml:space="preserve">ROM effort</w:t>
            </w:r>
          </w:p>
        </w:tc>
        <w:tc>
          <w:tcPr/>
          <w:p>
            <w:pPr>
              <w:pStyle w:val="Compact"/>
            </w:pPr>
            <w:r>
              <w:t xml:space="preserve">Primary effort drivers</w:t>
            </w:r>
          </w:p>
        </w:tc>
      </w:tr>
      <w:tr>
        <w:tc>
          <w:tcPr/>
          <w:p>
            <w:pPr>
              <w:pStyle w:val="Compact"/>
            </w:pPr>
            <w:r>
              <w:t xml:space="preserve">Platform foundation (security, environments, CI/CD, logging, qualification)</w:t>
            </w:r>
          </w:p>
        </w:tc>
        <w:tc>
          <w:tcPr/>
          <w:p>
            <w:pPr>
              <w:pStyle w:val="Compact"/>
              <w:jc w:val="right"/>
            </w:pPr>
            <w:r>
              <w:t xml:space="preserve">12–24 person-weeks</w:t>
            </w:r>
          </w:p>
        </w:tc>
        <w:tc>
          <w:tcPr/>
          <w:p>
            <w:pPr>
              <w:pStyle w:val="Compact"/>
            </w:pPr>
            <w:r>
              <w:t xml:space="preserve">network segmentation, identity integration, validated infrastructure</w:t>
            </w:r>
            <w:r>
              <w:t xml:space="preserve"> </w:t>
            </w:r>
            <w:hyperlink r:id="rId21">
              <w:r>
                <w:rPr>
                  <w:rStyle w:val="Hyperlink"/>
                </w:rPr>
                <w:t xml:space="preserve">[59]</w:t>
              </w:r>
            </w:hyperlink>
          </w:p>
        </w:tc>
      </w:tr>
      <w:tr>
        <w:tc>
          <w:tcPr/>
          <w:p>
            <w:pPr>
              <w:pStyle w:val="Compact"/>
            </w:pPr>
            <w:r>
              <w:t xml:space="preserve">Each read-only system integration</w:t>
            </w:r>
          </w:p>
        </w:tc>
        <w:tc>
          <w:tcPr/>
          <w:p>
            <w:pPr>
              <w:pStyle w:val="Compact"/>
              <w:jc w:val="right"/>
            </w:pPr>
            <w:r>
              <w:t xml:space="preserve">4–8 person-weeks per system</w:t>
            </w:r>
          </w:p>
        </w:tc>
        <w:tc>
          <w:tcPr/>
          <w:p>
            <w:pPr>
              <w:pStyle w:val="Compact"/>
            </w:pPr>
            <w:r>
              <w:t xml:space="preserve">API maturity, data model mapping, caching policy</w:t>
            </w:r>
          </w:p>
        </w:tc>
      </w:tr>
      <w:tr>
        <w:tc>
          <w:tcPr/>
          <w:p>
            <w:pPr>
              <w:pStyle w:val="Compact"/>
            </w:pPr>
            <w:r>
              <w:t xml:space="preserve">Each write-back integration (transactional)</w:t>
            </w:r>
          </w:p>
        </w:tc>
        <w:tc>
          <w:tcPr/>
          <w:p>
            <w:pPr>
              <w:pStyle w:val="Compact"/>
              <w:jc w:val="right"/>
            </w:pPr>
            <w:r>
              <w:t xml:space="preserve">8–16 person-weeks per system</w:t>
            </w:r>
          </w:p>
        </w:tc>
        <w:tc>
          <w:tcPr/>
          <w:p>
            <w:pPr>
              <w:pStyle w:val="Compact"/>
            </w:pPr>
            <w:r>
              <w:t xml:space="preserve">write APIs/adapters, reconciliation, Part 11 controls testing</w:t>
            </w:r>
            <w:r>
              <w:t xml:space="preserve"> </w:t>
            </w:r>
            <w:hyperlink r:id="rId23">
              <w:r>
                <w:rPr>
                  <w:rStyle w:val="Hyperlink"/>
                </w:rPr>
                <w:t xml:space="preserve">[9]</w:t>
              </w:r>
            </w:hyperlink>
          </w:p>
        </w:tc>
      </w:tr>
      <w:tr>
        <w:tc>
          <w:tcPr/>
          <w:p>
            <w:pPr>
              <w:pStyle w:val="Compact"/>
            </w:pPr>
            <w:r>
              <w:t xml:space="preserve">Validation package per release increment</w:t>
            </w:r>
          </w:p>
        </w:tc>
        <w:tc>
          <w:tcPr/>
          <w:p>
            <w:pPr>
              <w:pStyle w:val="Compact"/>
              <w:jc w:val="right"/>
            </w:pPr>
            <w:r>
              <w:t xml:space="preserve">20–40% of build effort</w:t>
            </w:r>
          </w:p>
        </w:tc>
        <w:tc>
          <w:tcPr/>
          <w:p>
            <w:pPr>
              <w:pStyle w:val="Compact"/>
            </w:pPr>
            <w:r>
              <w:t xml:space="preserve">traceability, testing rigor, SOP updates</w:t>
            </w:r>
            <w:r>
              <w:t xml:space="preserve"> </w:t>
            </w:r>
            <w:hyperlink r:id="rId21">
              <w:r>
                <w:rPr>
                  <w:rStyle w:val="Hyperlink"/>
                </w:rPr>
                <w:t xml:space="preserve">[60]</w:t>
              </w:r>
            </w:hyperlink>
          </w:p>
        </w:tc>
      </w:tr>
      <w:tr>
        <w:tc>
          <w:tcPr/>
          <w:p>
            <w:pPr>
              <w:pStyle w:val="Compact"/>
            </w:pPr>
            <w:r>
              <w:t xml:space="preserve">Ontology layer (registry MDM + optional context graph)</w:t>
            </w:r>
          </w:p>
        </w:tc>
        <w:tc>
          <w:tcPr/>
          <w:p>
            <w:pPr>
              <w:pStyle w:val="Compact"/>
              <w:jc w:val="right"/>
            </w:pPr>
            <w:r>
              <w:t xml:space="preserve">6–16 person-weeks</w:t>
            </w:r>
          </w:p>
        </w:tc>
        <w:tc>
          <w:tcPr/>
          <w:p>
            <w:pPr>
              <w:pStyle w:val="Compact"/>
            </w:pPr>
            <w:r>
              <w:t xml:space="preserve">identifier fragmentation, relationship complexity</w:t>
            </w:r>
            <w:r>
              <w:t xml:space="preserve"> </w:t>
            </w:r>
            <w:hyperlink r:id="rId39">
              <w:r>
                <w:rPr>
                  <w:rStyle w:val="Hyperlink"/>
                </w:rPr>
                <w:t xml:space="preserve">[61]</w:t>
              </w:r>
            </w:hyperlink>
          </w:p>
        </w:tc>
      </w:tr>
    </w:tbl>
    <w:bookmarkEnd w:id="67"/>
    <w:bookmarkStart w:id="69" w:name="risk-register-with-mitigations"/>
    <w:p>
      <w:pPr>
        <w:pStyle w:val="Heading3"/>
      </w:pPr>
      <w:r>
        <w:t xml:space="preserve">Risk register with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jc w:val="right"/>
            </w:pPr>
            <w:r>
              <w:t xml:space="preserve">Likelihood</w:t>
            </w:r>
          </w:p>
        </w:tc>
        <w:tc>
          <w:tcPr/>
          <w:p>
            <w:pPr>
              <w:pStyle w:val="Compact"/>
            </w:pPr>
            <w:r>
              <w:t xml:space="preserve">Mitigation</w:t>
            </w:r>
          </w:p>
        </w:tc>
      </w:tr>
      <w:tr>
        <w:tc>
          <w:tcPr/>
          <w:p>
            <w:pPr>
              <w:pStyle w:val="Compact"/>
            </w:pPr>
            <w:r>
              <w:t xml:space="preserve">Platform becomes “shadow system of record” (stores regulated originals)</w:t>
            </w:r>
          </w:p>
        </w:tc>
        <w:tc>
          <w:tcPr/>
          <w:p>
            <w:pPr>
              <w:pStyle w:val="Compact"/>
            </w:pPr>
            <w:r>
              <w:t xml:space="preserve">High</w:t>
            </w:r>
          </w:p>
        </w:tc>
        <w:tc>
          <w:tcPr/>
          <w:p>
            <w:pPr>
              <w:pStyle w:val="Compact"/>
              <w:jc w:val="right"/>
            </w:pPr>
            <w:r>
              <w:t xml:space="preserve">Medium</w:t>
            </w:r>
          </w:p>
        </w:tc>
        <w:tc>
          <w:tcPr/>
          <w:p>
            <w:pPr>
              <w:pStyle w:val="Compact"/>
            </w:pPr>
            <w:r>
              <w:t xml:space="preserve">Enforce authoritative-by-link; store only receipts/hashes; purge transient buffers after commit; validate reconciliation</w:t>
            </w:r>
            <w:r>
              <w:t xml:space="preserve"> </w:t>
            </w:r>
            <w:hyperlink r:id="rId68">
              <w:r>
                <w:rPr>
                  <w:rStyle w:val="Hyperlink"/>
                </w:rPr>
                <w:t xml:space="preserve">[62]</w:t>
              </w:r>
            </w:hyperlink>
          </w:p>
        </w:tc>
      </w:tr>
      <w:tr>
        <w:tc>
          <w:tcPr/>
          <w:p>
            <w:pPr>
              <w:pStyle w:val="Compact"/>
            </w:pPr>
            <w:r>
              <w:t xml:space="preserve">Write-back ambiguity (where should each datum land?)</w:t>
            </w:r>
          </w:p>
        </w:tc>
        <w:tc>
          <w:tcPr/>
          <w:p>
            <w:pPr>
              <w:pStyle w:val="Compact"/>
            </w:pPr>
            <w:r>
              <w:t xml:space="preserve">High</w:t>
            </w:r>
          </w:p>
        </w:tc>
        <w:tc>
          <w:tcPr/>
          <w:p>
            <w:pPr>
              <w:pStyle w:val="Compact"/>
              <w:jc w:val="right"/>
            </w:pPr>
            <w:r>
              <w:t xml:space="preserve">High</w:t>
            </w:r>
          </w:p>
        </w:tc>
        <w:tc>
          <w:tcPr/>
          <w:p>
            <w:pPr>
              <w:pStyle w:val="Compact"/>
            </w:pPr>
            <w:r>
              <w:t xml:space="preserve">Field-to-SoR mapping per workflow; data contracts; QA-approved ownership matrix; integration tests</w:t>
            </w:r>
          </w:p>
        </w:tc>
      </w:tr>
      <w:tr>
        <w:tc>
          <w:tcPr/>
          <w:p>
            <w:pPr>
              <w:pStyle w:val="Compact"/>
            </w:pPr>
            <w:r>
              <w:t xml:space="preserve">Offline capture breaks auditability/time integrity</w:t>
            </w:r>
          </w:p>
        </w:tc>
        <w:tc>
          <w:tcPr/>
          <w:p>
            <w:pPr>
              <w:pStyle w:val="Compact"/>
            </w:pPr>
            <w:r>
              <w:t xml:space="preserve">High</w:t>
            </w:r>
          </w:p>
        </w:tc>
        <w:tc>
          <w:tcPr/>
          <w:p>
            <w:pPr>
              <w:pStyle w:val="Compact"/>
              <w:jc w:val="right"/>
            </w:pPr>
            <w:r>
              <w:t xml:space="preserve">Medium</w:t>
            </w:r>
          </w:p>
        </w:tc>
        <w:tc>
          <w:tcPr/>
          <w:p>
            <w:pPr>
              <w:pStyle w:val="Compact"/>
            </w:pPr>
            <w:r>
              <w:t xml:space="preserve">Restrict offline for GxP unless explicitly designed; trusted time source; encrypted local store; attested device posture</w:t>
            </w:r>
            <w:r>
              <w:t xml:space="preserve"> </w:t>
            </w:r>
            <w:hyperlink r:id="rId53">
              <w:r>
                <w:rPr>
                  <w:rStyle w:val="Hyperlink"/>
                </w:rPr>
                <w:t xml:space="preserve">[63]</w:t>
              </w:r>
            </w:hyperlink>
          </w:p>
        </w:tc>
      </w:tr>
      <w:tr>
        <w:tc>
          <w:tcPr/>
          <w:p>
            <w:pPr>
              <w:pStyle w:val="Compact"/>
            </w:pPr>
            <w:r>
              <w:t xml:space="preserve">Identity mismatches across systems (operator IDs differ)</w:t>
            </w:r>
          </w:p>
        </w:tc>
        <w:tc>
          <w:tcPr/>
          <w:p>
            <w:pPr>
              <w:pStyle w:val="Compact"/>
            </w:pPr>
            <w:r>
              <w:t xml:space="preserve">Medium</w:t>
            </w:r>
          </w:p>
        </w:tc>
        <w:tc>
          <w:tcPr/>
          <w:p>
            <w:pPr>
              <w:pStyle w:val="Compact"/>
              <w:jc w:val="right"/>
            </w:pPr>
            <w:r>
              <w:t xml:space="preserve">High</w:t>
            </w:r>
          </w:p>
        </w:tc>
        <w:tc>
          <w:tcPr/>
          <w:p>
            <w:pPr>
              <w:pStyle w:val="Compact"/>
            </w:pPr>
            <w:r>
              <w:t xml:space="preserve">Identity mapping service; reconcile HR/IdP identifiers to MES/QMS/LIMS operator IDs; periodic review</w:t>
            </w:r>
            <w:r>
              <w:t xml:space="preserve"> </w:t>
            </w:r>
            <w:hyperlink r:id="rId27">
              <w:r>
                <w:rPr>
                  <w:rStyle w:val="Hyperlink"/>
                </w:rPr>
                <w:t xml:space="preserve">[64]</w:t>
              </w:r>
            </w:hyperlink>
          </w:p>
        </w:tc>
      </w:tr>
      <w:tr>
        <w:tc>
          <w:tcPr/>
          <w:p>
            <w:pPr>
              <w:pStyle w:val="Compact"/>
            </w:pPr>
            <w:r>
              <w:t xml:space="preserve">Supplier/cloud service controls insufficient</w:t>
            </w:r>
          </w:p>
        </w:tc>
        <w:tc>
          <w:tcPr/>
          <w:p>
            <w:pPr>
              <w:pStyle w:val="Compact"/>
            </w:pPr>
            <w:r>
              <w:t xml:space="preserve">High</w:t>
            </w:r>
          </w:p>
        </w:tc>
        <w:tc>
          <w:tcPr/>
          <w:p>
            <w:pPr>
              <w:pStyle w:val="Compact"/>
              <w:jc w:val="right"/>
            </w:pPr>
            <w:r>
              <w:t xml:space="preserve">Medium</w:t>
            </w:r>
          </w:p>
        </w:tc>
        <w:tc>
          <w:tcPr/>
          <w:p>
            <w:pPr>
              <w:pStyle w:val="Compact"/>
            </w:pPr>
            <w:r>
              <w:t xml:space="preserve">Quality agreements; supplier audits; documented responsibility model; monitor draft regulatory updates</w:t>
            </w:r>
            <w:r>
              <w:t xml:space="preserve"> </w:t>
            </w:r>
            <w:hyperlink r:id="rId21">
              <w:r>
                <w:rPr>
                  <w:rStyle w:val="Hyperlink"/>
                </w:rPr>
                <w:t xml:space="preserve">[65]</w:t>
              </w:r>
            </w:hyperlink>
          </w:p>
        </w:tc>
      </w:tr>
      <w:tr>
        <w:tc>
          <w:tcPr/>
          <w:p>
            <w:pPr>
              <w:pStyle w:val="Compact"/>
            </w:pPr>
            <w:r>
              <w:t xml:space="preserve">OT/IT segmentation constraints block required flows</w:t>
            </w:r>
          </w:p>
        </w:tc>
        <w:tc>
          <w:tcPr/>
          <w:p>
            <w:pPr>
              <w:pStyle w:val="Compact"/>
            </w:pPr>
            <w:r>
              <w:t xml:space="preserve">High</w:t>
            </w:r>
          </w:p>
        </w:tc>
        <w:tc>
          <w:tcPr/>
          <w:p>
            <w:pPr>
              <w:pStyle w:val="Compact"/>
              <w:jc w:val="right"/>
            </w:pPr>
            <w:r>
              <w:t xml:space="preserve">Medium</w:t>
            </w:r>
          </w:p>
        </w:tc>
        <w:tc>
          <w:tcPr/>
          <w:p>
            <w:pPr>
              <w:pStyle w:val="Compact"/>
            </w:pPr>
            <w:r>
              <w:t xml:space="preserve">DMZ-based integration; asynchronous messaging; OT security architecture review</w:t>
            </w:r>
            <w:r>
              <w:t xml:space="preserve"> </w:t>
            </w:r>
            <w:hyperlink r:id="rId30">
              <w:r>
                <w:rPr>
                  <w:rStyle w:val="Hyperlink"/>
                </w:rPr>
                <w:t xml:space="preserve">[16]</w:t>
              </w:r>
            </w:hyperlink>
          </w:p>
        </w:tc>
      </w:tr>
      <w:tr>
        <w:tc>
          <w:tcPr/>
          <w:p>
            <w:pPr>
              <w:pStyle w:val="Compact"/>
            </w:pPr>
            <w:r>
              <w:t xml:space="preserve">Audit trail review not operationalized</w:t>
            </w:r>
          </w:p>
        </w:tc>
        <w:tc>
          <w:tcPr/>
          <w:p>
            <w:pPr>
              <w:pStyle w:val="Compact"/>
            </w:pPr>
            <w:r>
              <w:t xml:space="preserve">Medium</w:t>
            </w:r>
          </w:p>
        </w:tc>
        <w:tc>
          <w:tcPr/>
          <w:p>
            <w:pPr>
              <w:pStyle w:val="Compact"/>
              <w:jc w:val="right"/>
            </w:pPr>
            <w:r>
              <w:t xml:space="preserve">Medium</w:t>
            </w:r>
          </w:p>
        </w:tc>
        <w:tc>
          <w:tcPr/>
          <w:p>
            <w:pPr>
              <w:pStyle w:val="Compact"/>
            </w:pPr>
            <w:r>
              <w:t xml:space="preserve">Define review roles, cadence, exception triggers; dashboards; SOPs</w:t>
            </w:r>
            <w:r>
              <w:t xml:space="preserve"> </w:t>
            </w:r>
            <w:hyperlink r:id="rId21">
              <w:r>
                <w:rPr>
                  <w:rStyle w:val="Hyperlink"/>
                </w:rPr>
                <w:t xml:space="preserve">[17]</w:t>
              </w:r>
            </w:hyperlink>
          </w:p>
        </w:tc>
      </w:tr>
      <w:tr>
        <w:tc>
          <w:tcPr/>
          <w:p>
            <w:pPr>
              <w:pStyle w:val="Compact"/>
            </w:pPr>
            <w:r>
              <w:t xml:space="preserve">Change control/validated state drift in microservices</w:t>
            </w:r>
          </w:p>
        </w:tc>
        <w:tc>
          <w:tcPr/>
          <w:p>
            <w:pPr>
              <w:pStyle w:val="Compact"/>
            </w:pPr>
            <w:r>
              <w:t xml:space="preserve">High</w:t>
            </w:r>
          </w:p>
        </w:tc>
        <w:tc>
          <w:tcPr/>
          <w:p>
            <w:pPr>
              <w:pStyle w:val="Compact"/>
              <w:jc w:val="right"/>
            </w:pPr>
            <w:r>
              <w:t xml:space="preserve">Medium</w:t>
            </w:r>
          </w:p>
        </w:tc>
        <w:tc>
          <w:tcPr/>
          <w:p>
            <w:pPr>
              <w:pStyle w:val="Compact"/>
            </w:pPr>
            <w:r>
              <w:t xml:space="preserve">Controlled release pipelines; immutable artifacts; patch planning; periodic evaluation</w:t>
            </w:r>
            <w:r>
              <w:t xml:space="preserve"> </w:t>
            </w:r>
            <w:hyperlink r:id="rId21">
              <w:r>
                <w:rPr>
                  <w:rStyle w:val="Hyperlink"/>
                </w:rPr>
                <w:t xml:space="preserve">[66]</w:t>
              </w:r>
            </w:hyperlink>
          </w:p>
        </w:tc>
      </w:tr>
    </w:tbl>
    <w:bookmarkEnd w:id="69"/>
    <w:bookmarkEnd w:id="70"/>
    <w:bookmarkStart w:id="73" w:name="references"/>
    <w:p>
      <w:pPr>
        <w:pStyle w:val="Heading2"/>
      </w:pPr>
      <w:r>
        <w:t xml:space="preserve">References</w:t>
      </w:r>
    </w:p>
    <w:p>
      <w:pPr>
        <w:pStyle w:val="FirstParagraph"/>
      </w:pPr>
      <w:r>
        <w:t xml:space="preserve">Primary/official guidance and standards emphasized in this design include:</w:t>
      </w:r>
      <w:r>
        <w:t xml:space="preserve"> </w:t>
      </w:r>
      <w:r>
        <w:t xml:space="preserve">- Food and Drug Administration</w:t>
      </w:r>
      <w:hyperlink r:id="rId35">
        <w:r>
          <w:rPr>
            <w:rStyle w:val="Hyperlink"/>
          </w:rPr>
          <w:t xml:space="preserve">[67]</w:t>
        </w:r>
      </w:hyperlink>
      <w:r>
        <w:t xml:space="preserve">: Part 11 regulation text and Part 11 scope/application guidance; data integrity guidance for drug CGMP.</w:t>
      </w:r>
      <w:r>
        <w:t xml:space="preserve"> </w:t>
      </w:r>
      <w:hyperlink r:id="rId23">
        <w:r>
          <w:rPr>
            <w:rStyle w:val="Hyperlink"/>
          </w:rPr>
          <w:t xml:space="preserve">[68]</w:t>
        </w:r>
      </w:hyperlink>
      <w:r>
        <w:br/>
      </w:r>
      <w:r>
        <w:t xml:space="preserve">- European Commission</w:t>
      </w:r>
      <w:hyperlink r:id="rId21">
        <w:r>
          <w:rPr>
            <w:rStyle w:val="Hyperlink"/>
          </w:rPr>
          <w:t xml:space="preserve">[69]</w:t>
        </w:r>
      </w:hyperlink>
      <w:r>
        <w:t xml:space="preserve">: EU GMP computerized systems annex (current and draft revision consultation materials).</w:t>
      </w:r>
      <w:r>
        <w:t xml:space="preserve"> </w:t>
      </w:r>
      <w:hyperlink r:id="rId21">
        <w:r>
          <w:rPr>
            <w:rStyle w:val="Hyperlink"/>
          </w:rPr>
          <w:t xml:space="preserve">[70]</w:t>
        </w:r>
      </w:hyperlink>
      <w:r>
        <w:br/>
      </w:r>
      <w:r>
        <w:t xml:space="preserve">- Pharmaceutical Inspection Co-operation Scheme</w:t>
      </w:r>
      <w:hyperlink r:id="rId24">
        <w:r>
          <w:rPr>
            <w:rStyle w:val="Hyperlink"/>
          </w:rPr>
          <w:t xml:space="preserve">[71]</w:t>
        </w:r>
      </w:hyperlink>
      <w:r>
        <w:t xml:space="preserve">: PI 041-1 data management and integrity guidance.</w:t>
      </w:r>
      <w:r>
        <w:t xml:space="preserve"> </w:t>
      </w:r>
      <w:hyperlink r:id="rId68">
        <w:r>
          <w:rPr>
            <w:rStyle w:val="Hyperlink"/>
          </w:rPr>
          <w:t xml:space="preserve">[72]</w:t>
        </w:r>
      </w:hyperlink>
      <w:r>
        <w:br/>
      </w:r>
      <w:r>
        <w:t xml:space="preserve">- Medicines and Healthcare products Regulatory Agency</w:t>
      </w:r>
      <w:hyperlink r:id="rId53">
        <w:r>
          <w:rPr>
            <w:rStyle w:val="Hyperlink"/>
          </w:rPr>
          <w:t xml:space="preserve">[73]</w:t>
        </w:r>
      </w:hyperlink>
      <w:r>
        <w:t xml:space="preserve">: GxP data integrity definitions and ALCOA+ framing.</w:t>
      </w:r>
      <w:r>
        <w:t xml:space="preserve"> </w:t>
      </w:r>
      <w:hyperlink r:id="rId71">
        <w:r>
          <w:rPr>
            <w:rStyle w:val="Hyperlink"/>
          </w:rPr>
          <w:t xml:space="preserve">[74]</w:t>
        </w:r>
      </w:hyperlink>
      <w:r>
        <w:br/>
      </w:r>
      <w:r>
        <w:t xml:space="preserve">- World Health Organization</w:t>
      </w:r>
      <w:hyperlink r:id="rId21">
        <w:r>
          <w:rPr>
            <w:rStyle w:val="Hyperlink"/>
          </w:rPr>
          <w:t xml:space="preserve">[75]</w:t>
        </w:r>
      </w:hyperlink>
      <w:r>
        <w:t xml:space="preserve">: guideline on data integrity (ALCOA+, governance, computerized systems).</w:t>
      </w:r>
      <w:r>
        <w:t xml:space="preserve"> </w:t>
      </w:r>
      <w:hyperlink r:id="rId40">
        <w:r>
          <w:rPr>
            <w:rStyle w:val="Hyperlink"/>
          </w:rPr>
          <w:t xml:space="preserve">[76]</w:t>
        </w:r>
      </w:hyperlink>
      <w:r>
        <w:br/>
      </w:r>
      <w:r>
        <w:t xml:space="preserve">- National Institute of Standards and Technology</w:t>
      </w:r>
      <w:hyperlink r:id="rId23">
        <w:r>
          <w:rPr>
            <w:rStyle w:val="Hyperlink"/>
          </w:rPr>
          <w:t xml:space="preserve">[77]</w:t>
        </w:r>
      </w:hyperlink>
      <w:r>
        <w:t xml:space="preserve">: Zero Trust Architecture, digital identity guidelines, OT security, secure microservices/service mesh, container security, logging, patching, incident response, key management, cryptographic standards.</w:t>
      </w:r>
      <w:r>
        <w:t xml:space="preserve"> </w:t>
      </w:r>
      <w:hyperlink r:id="rId43">
        <w:r>
          <w:rPr>
            <w:rStyle w:val="Hyperlink"/>
          </w:rPr>
          <w:t xml:space="preserve">[78]</w:t>
        </w:r>
      </w:hyperlink>
      <w:r>
        <w:br/>
      </w:r>
      <w:r>
        <w:t xml:space="preserve">- International Society of Automation</w:t>
      </w:r>
      <w:hyperlink r:id="rId21">
        <w:r>
          <w:rPr>
            <w:rStyle w:val="Hyperlink"/>
          </w:rPr>
          <w:t xml:space="preserve">[79]</w:t>
        </w:r>
      </w:hyperlink>
      <w:r>
        <w:t xml:space="preserve">: ISA-95 enterprise-control integration framing (used for SoR layering).</w:t>
      </w:r>
      <w:r>
        <w:t xml:space="preserve"> </w:t>
      </w:r>
      <w:hyperlink r:id="rId33">
        <w:r>
          <w:rPr>
            <w:rStyle w:val="Hyperlink"/>
          </w:rPr>
          <w:t xml:space="preserve">[14]</w:t>
        </w:r>
      </w:hyperlink>
      <w:r>
        <w:br/>
      </w:r>
      <w:r>
        <w:t xml:space="preserve">- OPC Foundation</w:t>
      </w:r>
      <w:hyperlink r:id="rId33">
        <w:r>
          <w:rPr>
            <w:rStyle w:val="Hyperlink"/>
          </w:rPr>
          <w:t xml:space="preserve">[80]</w:t>
        </w:r>
      </w:hyperlink>
      <w:r>
        <w:t xml:space="preserve">: OPC UA security model concepts (signing/encryption at transport/application layers).</w:t>
      </w:r>
      <w:r>
        <w:t xml:space="preserve"> </w:t>
      </w:r>
      <w:hyperlink r:id="rId50">
        <w:r>
          <w:rPr>
            <w:rStyle w:val="Hyperlink"/>
          </w:rPr>
          <w:t xml:space="preserve">[81]</w:t>
        </w:r>
      </w:hyperlink>
      <w:r>
        <w:br/>
      </w:r>
      <w:r>
        <w:t xml:space="preserve">- Trusted Computing Group</w:t>
      </w:r>
      <w:hyperlink r:id="rId28">
        <w:r>
          <w:rPr>
            <w:rStyle w:val="Hyperlink"/>
          </w:rPr>
          <w:t xml:space="preserve">[82]</w:t>
        </w:r>
      </w:hyperlink>
      <w:r>
        <w:t xml:space="preserve">: device identity and attestation concepts for strong device posture.</w:t>
      </w:r>
      <w:r>
        <w:t xml:space="preserve"> </w:t>
      </w:r>
      <w:hyperlink r:id="rId72">
        <w:r>
          <w:rPr>
            <w:rStyle w:val="Hyperlink"/>
          </w:rPr>
          <w:t xml:space="preserve">[83]</w:t>
        </w:r>
      </w:hyperlink>
      <w:r>
        <w:br/>
      </w:r>
      <w:r>
        <w:t xml:space="preserve">- World Wide Web Consortium</w:t>
      </w:r>
      <w:hyperlink r:id="rId21">
        <w:r>
          <w:rPr>
            <w:rStyle w:val="Hyperlink"/>
          </w:rPr>
          <w:t xml:space="preserve">[84]</w:t>
        </w:r>
      </w:hyperlink>
      <w:r>
        <w:t xml:space="preserve">: RDF/SHACL/PROV for ontology constraints and provenance modeling in the optional context layer.</w:t>
      </w:r>
      <w:r>
        <w:t xml:space="preserve"> </w:t>
      </w:r>
      <w:hyperlink r:id="rId39">
        <w:r>
          <w:rPr>
            <w:rStyle w:val="Hyperlink"/>
          </w:rPr>
          <w:t xml:space="preserve">[23]</w:t>
        </w:r>
      </w:hyperlink>
    </w:p>
    <w:bookmarkEnd w:id="73"/>
    <w:bookmarkEnd w:id="74"/>
    <w:bookmarkEnd w:id="7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[13]</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[25]</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[47]</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[54]</w:t>
        </w:r>
      </w:hyperlink>
      <w:r>
        <w:t xml:space="preserve"> </w:t>
      </w:r>
      <w:hyperlink r:id="rId21">
        <w:r>
          <w:rPr>
            <w:rStyle w:val="Hyperlink"/>
          </w:rPr>
          <w:t xml:space="preserve">[57]</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[69]</w:t>
        </w:r>
      </w:hyperlink>
      <w:r>
        <w:t xml:space="preserve"> </w:t>
      </w:r>
      <w:hyperlink r:id="rId21">
        <w:r>
          <w:rPr>
            <w:rStyle w:val="Hyperlink"/>
          </w:rPr>
          <w:t xml:space="preserve">[70]</w:t>
        </w:r>
      </w:hyperlink>
      <w:r>
        <w:t xml:space="preserve"> </w:t>
      </w:r>
      <w:hyperlink r:id="rId21">
        <w:r>
          <w:rPr>
            <w:rStyle w:val="Hyperlink"/>
          </w:rPr>
          <w:t xml:space="preserve">[75]</w:t>
        </w:r>
      </w:hyperlink>
      <w:r>
        <w:t xml:space="preserve"> </w:t>
      </w:r>
      <w:hyperlink r:id="rId21">
        <w:r>
          <w:rPr>
            <w:rStyle w:val="Hyperlink"/>
          </w:rPr>
          <w:t xml:space="preserve">[79]</w:t>
        </w:r>
      </w:hyperlink>
      <w:r>
        <w:t xml:space="preserve"> </w:t>
      </w:r>
      <w:hyperlink r:id="rId21">
        <w:r>
          <w:rPr>
            <w:rStyle w:val="Hyperlink"/>
          </w:rPr>
          <w:t xml:space="preserve">[84]</w:t>
        </w:r>
      </w:hyperlink>
      <w:r>
        <w:t xml:space="preserve"> </w:t>
      </w:r>
      <w:r>
        <w:t xml:space="preserve">https://health.ec.europa.eu/system/files/2016-11/annex11_01-2011_en_0.pdf</w:t>
      </w:r>
    </w:p>
    <w:p>
      <w:pPr>
        <w:pStyle w:val="BodyText"/>
      </w:pPr>
      <w:hyperlink r:id="rId21">
        <w:r>
          <w:rPr>
            <w:rStyle w:val="Hyperlink"/>
          </w:rPr>
          <w:t xml:space="preserve">https://health.ec.europa.eu/system/files/2016-11/annex11_01-2011_en_0.pdf</w:t>
        </w:r>
      </w:hyperlink>
    </w:p>
    <w:p>
      <w:pPr>
        <w:pStyle w:val="BodyText"/>
      </w:pPr>
      <w:hyperlink r:id="rId22">
        <w:r>
          <w:rPr>
            <w:rStyle w:val="Hyperlink"/>
          </w:rPr>
          <w:t xml:space="preserve">[2]</w:t>
        </w:r>
      </w:hyperlink>
      <w:r>
        <w:t xml:space="preserve"> </w:t>
      </w:r>
      <w:r>
        <w:t xml:space="preserve">21 CFR Part 11 -- Electronic Records; Electronic Signatures</w:t>
      </w:r>
    </w:p>
    <w:p>
      <w:pPr>
        <w:pStyle w:val="BodyText"/>
      </w:pPr>
      <w:hyperlink r:id="rId22">
        <w:r>
          <w:rPr>
            <w:rStyle w:val="Hyperlink"/>
          </w:rPr>
          <w:t xml:space="preserve">https://www.ecfr.gov/current/title-21/chapter-I/subchapter-A/part-11?utm_source=chatgpt.com</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[68]</w:t>
        </w:r>
      </w:hyperlink>
      <w:r>
        <w:t xml:space="preserve"> </w:t>
      </w:r>
      <w:hyperlink r:id="rId23">
        <w:r>
          <w:rPr>
            <w:rStyle w:val="Hyperlink"/>
          </w:rPr>
          <w:t xml:space="preserve">[77]</w:t>
        </w:r>
      </w:hyperlink>
      <w:r>
        <w:t xml:space="preserve"> </w:t>
      </w:r>
      <w:r>
        <w:t xml:space="preserve">21 CFR Part 11 -- Electronic Records; Electronic Signatures</w:t>
      </w:r>
    </w:p>
    <w:p>
      <w:pPr>
        <w:pStyle w:val="BodyText"/>
      </w:pPr>
      <w:hyperlink r:id="rId23">
        <w:r>
          <w:rPr>
            <w:rStyle w:val="Hyperlink"/>
          </w:rPr>
          <w:t xml:space="preserve">https://www.ecfr.gov/current/title-21/chapter-I/subchapter-A/part-11?toc=1&amp;utm_source=chatgpt.com</w:t>
        </w:r>
      </w:hyperlink>
    </w:p>
    <w:p>
      <w:pPr>
        <w:pStyle w:val="BodyText"/>
      </w:pPr>
      <w:hyperlink r:id="rId24">
        <w:r>
          <w:rPr>
            <w:rStyle w:val="Hyperlink"/>
          </w:rPr>
          <w:t xml:space="preserve">[5]</w:t>
        </w:r>
      </w:hyperlink>
      <w:r>
        <w:t xml:space="preserve"> </w:t>
      </w:r>
      <w:hyperlink r:id="rId24">
        <w:r>
          <w:rPr>
            <w:rStyle w:val="Hyperlink"/>
          </w:rPr>
          <w:t xml:space="preserve">[22]</w:t>
        </w:r>
      </w:hyperlink>
      <w:r>
        <w:t xml:space="preserve"> </w:t>
      </w:r>
      <w:hyperlink r:id="rId24">
        <w:r>
          <w:rPr>
            <w:rStyle w:val="Hyperlink"/>
          </w:rPr>
          <w:t xml:space="preserve">[71]</w:t>
        </w:r>
      </w:hyperlink>
      <w:r>
        <w:t xml:space="preserve"> </w:t>
      </w:r>
      <w:r>
        <w:t xml:space="preserve">https://www.w3.org/TR/prov-dm/</w:t>
      </w:r>
    </w:p>
    <w:p>
      <w:pPr>
        <w:pStyle w:val="BodyText"/>
      </w:pPr>
      <w:hyperlink r:id="rId24">
        <w:r>
          <w:rPr>
            <w:rStyle w:val="Hyperlink"/>
          </w:rPr>
          <w:t xml:space="preserve">https://www.w3.org/TR/prov-dm/</w:t>
        </w:r>
      </w:hyperlink>
    </w:p>
    <w:p>
      <w:pPr>
        <w:pStyle w:val="BodyText"/>
      </w:pPr>
      <w:hyperlink r:id="rId27">
        <w:r>
          <w:rPr>
            <w:rStyle w:val="Hyperlink"/>
          </w:rPr>
          <w:t xml:space="preserve">[7]</w:t>
        </w:r>
      </w:hyperlink>
      <w:r>
        <w:t xml:space="preserve"> </w:t>
      </w:r>
      <w:hyperlink r:id="rId27">
        <w:r>
          <w:rPr>
            <w:rStyle w:val="Hyperlink"/>
          </w:rPr>
          <w:t xml:space="preserve">[10]</w:t>
        </w:r>
      </w:hyperlink>
      <w:r>
        <w:t xml:space="preserve"> </w:t>
      </w:r>
      <w:hyperlink r:id="rId27">
        <w:r>
          <w:rPr>
            <w:rStyle w:val="Hyperlink"/>
          </w:rPr>
          <w:t xml:space="preserve">[31]</w:t>
        </w:r>
      </w:hyperlink>
      <w:r>
        <w:t xml:space="preserve"> </w:t>
      </w:r>
      <w:hyperlink r:id="rId27">
        <w:r>
          <w:rPr>
            <w:rStyle w:val="Hyperlink"/>
          </w:rPr>
          <w:t xml:space="preserve">[56]</w:t>
        </w:r>
      </w:hyperlink>
      <w:r>
        <w:t xml:space="preserve"> </w:t>
      </w:r>
      <w:hyperlink r:id="rId27">
        <w:r>
          <w:rPr>
            <w:rStyle w:val="Hyperlink"/>
          </w:rPr>
          <w:t xml:space="preserve">[64]</w:t>
        </w:r>
      </w:hyperlink>
      <w:r>
        <w:t xml:space="preserve"> </w:t>
      </w:r>
      <w:r>
        <w:t xml:space="preserve">https://csrc.nist.gov/pubs/sp/800/63/4/final</w:t>
      </w:r>
    </w:p>
    <w:p>
      <w:pPr>
        <w:pStyle w:val="BodyText"/>
      </w:pPr>
      <w:hyperlink r:id="rId27">
        <w:r>
          <w:rPr>
            <w:rStyle w:val="Hyperlink"/>
          </w:rPr>
          <w:t xml:space="preserve">https://csrc.nist.gov/pubs/sp/800/63/4/final</w:t>
        </w:r>
      </w:hyperlink>
    </w:p>
    <w:p>
      <w:pPr>
        <w:pStyle w:val="BodyText"/>
      </w:pPr>
      <w:hyperlink r:id="rId28">
        <w:r>
          <w:rPr>
            <w:rStyle w:val="Hyperlink"/>
          </w:rPr>
          <w:t xml:space="preserve">[8]</w:t>
        </w:r>
      </w:hyperlink>
      <w:r>
        <w:t xml:space="preserve"> </w:t>
      </w:r>
      <w:hyperlink r:id="rId28">
        <w:r>
          <w:rPr>
            <w:rStyle w:val="Hyperlink"/>
          </w:rPr>
          <w:t xml:space="preserve">[12]</w:t>
        </w:r>
      </w:hyperlink>
      <w:r>
        <w:t xml:space="preserve"> </w:t>
      </w:r>
      <w:hyperlink r:id="rId28">
        <w:r>
          <w:rPr>
            <w:rStyle w:val="Hyperlink"/>
          </w:rPr>
          <w:t xml:space="preserve">[46]</w:t>
        </w:r>
      </w:hyperlink>
      <w:r>
        <w:t xml:space="preserve"> </w:t>
      </w:r>
      <w:hyperlink r:id="rId28">
        <w:r>
          <w:rPr>
            <w:rStyle w:val="Hyperlink"/>
          </w:rPr>
          <w:t xml:space="preserve">[82]</w:t>
        </w:r>
      </w:hyperlink>
      <w:r>
        <w:t xml:space="preserve"> </w:t>
      </w:r>
      <w:r>
        <w:t xml:space="preserve">https://www.ecfr.gov/current/title-21/chapter-I/subchapter-C/part-211/subpart-J/section-211.180</w:t>
      </w:r>
    </w:p>
    <w:p>
      <w:pPr>
        <w:pStyle w:val="BodyText"/>
      </w:pPr>
      <w:hyperlink r:id="rId28">
        <w:r>
          <w:rPr>
            <w:rStyle w:val="Hyperlink"/>
          </w:rPr>
          <w:t xml:space="preserve">https://www.ecfr.gov/current/title-21/chapter-I/subchapter-C/part-211/subpart-J/section-211.180</w:t>
        </w:r>
      </w:hyperlink>
    </w:p>
    <w:p>
      <w:pPr>
        <w:pStyle w:val="BodyText"/>
      </w:pPr>
      <w:hyperlink r:id="rId30">
        <w:r>
          <w:rPr>
            <w:rStyle w:val="Hyperlink"/>
          </w:rPr>
          <w:t xml:space="preserve">[11]</w:t>
        </w:r>
      </w:hyperlink>
      <w:r>
        <w:t xml:space="preserve"> </w:t>
      </w:r>
      <w:hyperlink r:id="rId30">
        <w:r>
          <w:rPr>
            <w:rStyle w:val="Hyperlink"/>
          </w:rPr>
          <w:t xml:space="preserve">[16]</w:t>
        </w:r>
      </w:hyperlink>
      <w:r>
        <w:t xml:space="preserve"> </w:t>
      </w:r>
      <w:hyperlink r:id="rId30">
        <w:r>
          <w:rPr>
            <w:rStyle w:val="Hyperlink"/>
          </w:rPr>
          <w:t xml:space="preserve">[33]</w:t>
        </w:r>
      </w:hyperlink>
      <w:r>
        <w:t xml:space="preserve"> </w:t>
      </w:r>
      <w:hyperlink r:id="rId30">
        <w:r>
          <w:rPr>
            <w:rStyle w:val="Hyperlink"/>
          </w:rPr>
          <w:t xml:space="preserve">[55]</w:t>
        </w:r>
      </w:hyperlink>
      <w:r>
        <w:t xml:space="preserve"> </w:t>
      </w:r>
      <w:r>
        <w:t xml:space="preserve">https://csrc.nist.gov/pubs/sp/800/82/r3/final</w:t>
      </w:r>
    </w:p>
    <w:p>
      <w:pPr>
        <w:pStyle w:val="BodyText"/>
      </w:pPr>
      <w:hyperlink r:id="rId30">
        <w:r>
          <w:rPr>
            <w:rStyle w:val="Hyperlink"/>
          </w:rPr>
          <w:t xml:space="preserve">https://csrc.nist.gov/pubs/sp/800/82/r3/final</w:t>
        </w:r>
      </w:hyperlink>
    </w:p>
    <w:p>
      <w:pPr>
        <w:pStyle w:val="BodyText"/>
      </w:pPr>
      <w:hyperlink r:id="rId33">
        <w:r>
          <w:rPr>
            <w:rStyle w:val="Hyperlink"/>
          </w:rPr>
          <w:t xml:space="preserve">[14]</w:t>
        </w:r>
      </w:hyperlink>
      <w:r>
        <w:t xml:space="preserve"> </w:t>
      </w:r>
      <w:hyperlink r:id="rId33">
        <w:r>
          <w:rPr>
            <w:rStyle w:val="Hyperlink"/>
          </w:rPr>
          <w:t xml:space="preserve">[80]</w:t>
        </w:r>
      </w:hyperlink>
      <w:r>
        <w:t xml:space="preserve"> </w:t>
      </w:r>
      <w:r>
        <w:t xml:space="preserve">https://www.isa.org/standards-and-publications/isa-standards/isa-95-standard</w:t>
      </w:r>
    </w:p>
    <w:p>
      <w:pPr>
        <w:pStyle w:val="BodyText"/>
      </w:pPr>
      <w:hyperlink r:id="rId33">
        <w:r>
          <w:rPr>
            <w:rStyle w:val="Hyperlink"/>
          </w:rPr>
          <w:t xml:space="preserve">https://www.isa.org/standards-and-publications/isa-standards/isa-95-standard</w:t>
        </w:r>
      </w:hyperlink>
    </w:p>
    <w:p>
      <w:pPr>
        <w:pStyle w:val="BodyText"/>
      </w:pPr>
      <w:hyperlink r:id="rId34">
        <w:r>
          <w:rPr>
            <w:rStyle w:val="Hyperlink"/>
          </w:rPr>
          <w:t xml:space="preserve">[15]</w:t>
        </w:r>
      </w:hyperlink>
      <w:r>
        <w:t xml:space="preserve"> </w:t>
      </w:r>
      <w:r>
        <w:t xml:space="preserve">https://www.ecfr.gov/current/title-21/chapter-I/subchapter-C/part-211/subpart-J/section-211.188</w:t>
      </w:r>
    </w:p>
    <w:p>
      <w:pPr>
        <w:pStyle w:val="BodyText"/>
      </w:pPr>
      <w:hyperlink r:id="rId34">
        <w:r>
          <w:rPr>
            <w:rStyle w:val="Hyperlink"/>
          </w:rPr>
          <w:t xml:space="preserve">https://www.ecfr.gov/current/title-21/chapter-I/subchapter-C/part-211/subpart-J/section-211.188</w:t>
        </w:r>
      </w:hyperlink>
    </w:p>
    <w:p>
      <w:pPr>
        <w:pStyle w:val="BodyText"/>
      </w:pPr>
      <w:hyperlink r:id="rId35">
        <w:r>
          <w:rPr>
            <w:rStyle w:val="Hyperlink"/>
          </w:rPr>
          <w:t xml:space="preserve">[19]</w:t>
        </w:r>
      </w:hyperlink>
      <w:r>
        <w:t xml:space="preserve"> </w:t>
      </w:r>
      <w:hyperlink r:id="rId35">
        <w:r>
          <w:rPr>
            <w:rStyle w:val="Hyperlink"/>
          </w:rPr>
          <w:t xml:space="preserve">[21]</w:t>
        </w:r>
      </w:hyperlink>
      <w:r>
        <w:t xml:space="preserve"> </w:t>
      </w:r>
      <w:hyperlink r:id="rId35">
        <w:r>
          <w:rPr>
            <w:rStyle w:val="Hyperlink"/>
          </w:rPr>
          <w:t xml:space="preserve">[41]</w:t>
        </w:r>
      </w:hyperlink>
      <w:r>
        <w:t xml:space="preserve"> </w:t>
      </w:r>
      <w:hyperlink r:id="rId35">
        <w:r>
          <w:rPr>
            <w:rStyle w:val="Hyperlink"/>
          </w:rPr>
          <w:t xml:space="preserve">[58]</w:t>
        </w:r>
      </w:hyperlink>
      <w:r>
        <w:t xml:space="preserve"> </w:t>
      </w:r>
      <w:hyperlink r:id="rId35">
        <w:r>
          <w:rPr>
            <w:rStyle w:val="Hyperlink"/>
          </w:rPr>
          <w:t xml:space="preserve">[67]</w:t>
        </w:r>
      </w:hyperlink>
      <w:r>
        <w:t xml:space="preserve"> </w:t>
      </w:r>
      <w:r>
        <w:t xml:space="preserve">https://www.fda.gov/media/119267/download</w:t>
      </w:r>
    </w:p>
    <w:p>
      <w:pPr>
        <w:pStyle w:val="BodyText"/>
      </w:pPr>
      <w:hyperlink r:id="rId35">
        <w:r>
          <w:rPr>
            <w:rStyle w:val="Hyperlink"/>
          </w:rPr>
          <w:t xml:space="preserve">https://www.fda.gov/media/119267/download</w:t>
        </w:r>
      </w:hyperlink>
    </w:p>
    <w:p>
      <w:pPr>
        <w:pStyle w:val="BodyText"/>
      </w:pPr>
      <w:hyperlink r:id="rId36">
        <w:r>
          <w:rPr>
            <w:rStyle w:val="Hyperlink"/>
          </w:rPr>
          <w:t xml:space="preserve">[20]</w:t>
        </w:r>
      </w:hyperlink>
      <w:r>
        <w:t xml:space="preserve"> </w:t>
      </w:r>
      <w:r>
        <w:t xml:space="preserve">https://health.ec.europa.eu/document/download/104b3eb8-81a7-4858-9419-cb06562adb66_en</w:t>
      </w:r>
    </w:p>
    <w:p>
      <w:pPr>
        <w:pStyle w:val="BodyText"/>
      </w:pPr>
      <w:hyperlink r:id="rId36">
        <w:r>
          <w:rPr>
            <w:rStyle w:val="Hyperlink"/>
          </w:rPr>
          <w:t xml:space="preserve">https://health.ec.europa.eu/document/download/104b3eb8-81a7-4858-9419-cb06562adb66_en</w:t>
        </w:r>
      </w:hyperlink>
    </w:p>
    <w:p>
      <w:pPr>
        <w:pStyle w:val="BodyText"/>
      </w:pPr>
      <w:hyperlink r:id="rId39">
        <w:r>
          <w:rPr>
            <w:rStyle w:val="Hyperlink"/>
          </w:rPr>
          <w:t xml:space="preserve">[23]</w:t>
        </w:r>
      </w:hyperlink>
      <w:r>
        <w:t xml:space="preserve"> </w:t>
      </w:r>
      <w:hyperlink r:id="rId39">
        <w:r>
          <w:rPr>
            <w:rStyle w:val="Hyperlink"/>
          </w:rPr>
          <w:t xml:space="preserve">[61]</w:t>
        </w:r>
      </w:hyperlink>
      <w:r>
        <w:t xml:space="preserve"> </w:t>
      </w:r>
      <w:r>
        <w:t xml:space="preserve">https://www.w3.org/TR/rdf11-concepts/</w:t>
      </w:r>
    </w:p>
    <w:p>
      <w:pPr>
        <w:pStyle w:val="BodyText"/>
      </w:pPr>
      <w:hyperlink r:id="rId39">
        <w:r>
          <w:rPr>
            <w:rStyle w:val="Hyperlink"/>
          </w:rPr>
          <w:t xml:space="preserve">https://www.w3.org/TR/rdf11-concepts/</w:t>
        </w:r>
      </w:hyperlink>
    </w:p>
    <w:p>
      <w:pPr>
        <w:pStyle w:val="BodyText"/>
      </w:pPr>
      <w:hyperlink r:id="rId40">
        <w:r>
          <w:rPr>
            <w:rStyle w:val="Hyperlink"/>
          </w:rPr>
          <w:t xml:space="preserve">[24]</w:t>
        </w:r>
      </w:hyperlink>
      <w:r>
        <w:t xml:space="preserve"> </w:t>
      </w:r>
      <w:hyperlink r:id="rId40">
        <w:r>
          <w:rPr>
            <w:rStyle w:val="Hyperlink"/>
          </w:rPr>
          <w:t xml:space="preserve">[45]</w:t>
        </w:r>
      </w:hyperlink>
      <w:r>
        <w:t xml:space="preserve"> </w:t>
      </w:r>
      <w:hyperlink r:id="rId40">
        <w:r>
          <w:rPr>
            <w:rStyle w:val="Hyperlink"/>
          </w:rPr>
          <w:t xml:space="preserve">[76]</w:t>
        </w:r>
      </w:hyperlink>
      <w:r>
        <w:t xml:space="preserve"> </w:t>
      </w:r>
      <w:r>
        <w:t xml:space="preserve">https://cdn.who.int/media/docs/default-source/medicines/norms-and-standards/guidelines/inspections/trs1033-annex4-guideline-on-data-integrity.pdf?download=true&amp;sfvrsn=6218a4e6_4</w:t>
      </w:r>
    </w:p>
    <w:p>
      <w:pPr>
        <w:pStyle w:val="BodyText"/>
      </w:pPr>
      <w:hyperlink r:id="rId40">
        <w:r>
          <w:rPr>
            <w:rStyle w:val="Hyperlink"/>
          </w:rPr>
          <w:t xml:space="preserve">https://cdn.who.int/media/docs/default-source/medicines/norms-and-standards/guidelines/inspections/trs1033-annex4-guideline-on-data-integrity.pdf?download=true&amp;sfvrsn=6218a4e6_4</w:t>
        </w:r>
      </w:hyperlink>
    </w:p>
    <w:p>
      <w:pPr>
        <w:pStyle w:val="BodyText"/>
      </w:pPr>
      <w:hyperlink r:id="rId43">
        <w:r>
          <w:rPr>
            <w:rStyle w:val="Hyperlink"/>
          </w:rPr>
          <w:t xml:space="preserve">[26]</w:t>
        </w:r>
      </w:hyperlink>
      <w:r>
        <w:t xml:space="preserve"> </w:t>
      </w:r>
      <w:hyperlink r:id="rId43">
        <w:r>
          <w:rPr>
            <w:rStyle w:val="Hyperlink"/>
          </w:rPr>
          <w:t xml:space="preserve">[78]</w:t>
        </w:r>
      </w:hyperlink>
      <w:r>
        <w:t xml:space="preserve"> </w:t>
      </w:r>
      <w:r>
        <w:t xml:space="preserve">SP 800-207, Zero Trust Architecture - NIST CSRC</w:t>
      </w:r>
    </w:p>
    <w:p>
      <w:pPr>
        <w:pStyle w:val="BodyText"/>
      </w:pPr>
      <w:hyperlink r:id="rId43">
        <w:r>
          <w:rPr>
            <w:rStyle w:val="Hyperlink"/>
          </w:rPr>
          <w:t xml:space="preserve">https://csrc.nist.gov/pubs/sp/800/207/final?utm_source=chatgpt.com</w:t>
        </w:r>
      </w:hyperlink>
    </w:p>
    <w:p>
      <w:pPr>
        <w:pStyle w:val="BodyText"/>
      </w:pPr>
      <w:hyperlink r:id="rId49">
        <w:r>
          <w:rPr>
            <w:rStyle w:val="Hyperlink"/>
          </w:rPr>
          <w:t xml:space="preserve">[32]</w:t>
        </w:r>
      </w:hyperlink>
      <w:r>
        <w:t xml:space="preserve"> </w:t>
      </w:r>
      <w:r>
        <w:t xml:space="preserve">https://csrc.nist.gov/pubs/sp/800/53/r5/upd1/final</w:t>
      </w:r>
    </w:p>
    <w:p>
      <w:pPr>
        <w:pStyle w:val="BodyText"/>
      </w:pPr>
      <w:hyperlink r:id="rId49">
        <w:r>
          <w:rPr>
            <w:rStyle w:val="Hyperlink"/>
          </w:rPr>
          <w:t xml:space="preserve">https://csrc.nist.gov/pubs/sp/800/53/r5/upd1/final</w:t>
        </w:r>
      </w:hyperlink>
    </w:p>
    <w:p>
      <w:pPr>
        <w:pStyle w:val="BodyText"/>
      </w:pPr>
      <w:hyperlink r:id="rId50">
        <w:r>
          <w:rPr>
            <w:rStyle w:val="Hyperlink"/>
          </w:rPr>
          <w:t xml:space="preserve">[34]</w:t>
        </w:r>
      </w:hyperlink>
      <w:r>
        <w:t xml:space="preserve"> </w:t>
      </w:r>
      <w:hyperlink r:id="rId50">
        <w:r>
          <w:rPr>
            <w:rStyle w:val="Hyperlink"/>
          </w:rPr>
          <w:t xml:space="preserve">[81]</w:t>
        </w:r>
      </w:hyperlink>
      <w:r>
        <w:t xml:space="preserve"> </w:t>
      </w:r>
      <w:r>
        <w:t xml:space="preserve">https://reference.opcfoundation.org/Core/Part1/v105/docs/4.4.1</w:t>
      </w:r>
    </w:p>
    <w:p>
      <w:pPr>
        <w:pStyle w:val="BodyText"/>
      </w:pPr>
      <w:hyperlink r:id="rId50">
        <w:r>
          <w:rPr>
            <w:rStyle w:val="Hyperlink"/>
          </w:rPr>
          <w:t xml:space="preserve">https://reference.opcfoundation.org/Core/Part1/v105/docs/4.4.1</w:t>
        </w:r>
      </w:hyperlink>
    </w:p>
    <w:p>
      <w:pPr>
        <w:pStyle w:val="BodyText"/>
      </w:pPr>
      <w:hyperlink r:id="rId51">
        <w:r>
          <w:rPr>
            <w:rStyle w:val="Hyperlink"/>
          </w:rPr>
          <w:t xml:space="preserve">[35]</w:t>
        </w:r>
      </w:hyperlink>
      <w:r>
        <w:t xml:space="preserve"> </w:t>
      </w:r>
      <w:r>
        <w:t xml:space="preserve">https://csrc.nist.gov/pubs/sp/800/57/pt1/r5/final</w:t>
      </w:r>
    </w:p>
    <w:p>
      <w:pPr>
        <w:pStyle w:val="BodyText"/>
      </w:pPr>
      <w:hyperlink r:id="rId51">
        <w:r>
          <w:rPr>
            <w:rStyle w:val="Hyperlink"/>
          </w:rPr>
          <w:t xml:space="preserve">https://csrc.nist.gov/pubs/sp/800/57/pt1/r5/final</w:t>
        </w:r>
      </w:hyperlink>
    </w:p>
    <w:p>
      <w:pPr>
        <w:pStyle w:val="BodyText"/>
      </w:pPr>
      <w:hyperlink r:id="rId52">
        <w:r>
          <w:rPr>
            <w:rStyle w:val="Hyperlink"/>
          </w:rPr>
          <w:t xml:space="preserve">[36]</w:t>
        </w:r>
      </w:hyperlink>
      <w:r>
        <w:t xml:space="preserve"> </w:t>
      </w:r>
      <w:r>
        <w:t xml:space="preserve">https://nvlpubs.nist.gov/nistpubs/specialpublications/nist.sp.800-218.pdf</w:t>
      </w:r>
    </w:p>
    <w:p>
      <w:pPr>
        <w:pStyle w:val="BodyText"/>
      </w:pPr>
      <w:hyperlink r:id="rId52">
        <w:r>
          <w:rPr>
            <w:rStyle w:val="Hyperlink"/>
          </w:rPr>
          <w:t xml:space="preserve">https://nvlpubs.nist.gov/nistpubs/specialpublications/nist.sp.800-218.pdf</w:t>
        </w:r>
      </w:hyperlink>
    </w:p>
    <w:p>
      <w:pPr>
        <w:pStyle w:val="BodyText"/>
      </w:pPr>
      <w:hyperlink r:id="rId53">
        <w:r>
          <w:rPr>
            <w:rStyle w:val="Hyperlink"/>
          </w:rPr>
          <w:t xml:space="preserve">[37]</w:t>
        </w:r>
      </w:hyperlink>
      <w:r>
        <w:t xml:space="preserve"> </w:t>
      </w:r>
      <w:hyperlink r:id="rId53">
        <w:r>
          <w:rPr>
            <w:rStyle w:val="Hyperlink"/>
          </w:rPr>
          <w:t xml:space="preserve">[63]</w:t>
        </w:r>
      </w:hyperlink>
      <w:r>
        <w:t xml:space="preserve"> </w:t>
      </w:r>
      <w:hyperlink r:id="rId53">
        <w:r>
          <w:rPr>
            <w:rStyle w:val="Hyperlink"/>
          </w:rPr>
          <w:t xml:space="preserve">[73]</w:t>
        </w:r>
      </w:hyperlink>
      <w:r>
        <w:t xml:space="preserve"> </w:t>
      </w:r>
      <w:r>
        <w:t xml:space="preserve">https://csrc.nist.gov/pubs/sp/800/193/final</w:t>
      </w:r>
    </w:p>
    <w:p>
      <w:pPr>
        <w:pStyle w:val="BodyText"/>
      </w:pPr>
      <w:hyperlink r:id="rId53">
        <w:r>
          <w:rPr>
            <w:rStyle w:val="Hyperlink"/>
          </w:rPr>
          <w:t xml:space="preserve">https://csrc.nist.gov/pubs/sp/800/193/final</w:t>
        </w:r>
      </w:hyperlink>
    </w:p>
    <w:p>
      <w:pPr>
        <w:pStyle w:val="BodyText"/>
      </w:pPr>
      <w:hyperlink r:id="rId54">
        <w:r>
          <w:rPr>
            <w:rStyle w:val="Hyperlink"/>
          </w:rPr>
          <w:t xml:space="preserve">[38]</w:t>
        </w:r>
      </w:hyperlink>
      <w:r>
        <w:t xml:space="preserve"> </w:t>
      </w:r>
      <w:r>
        <w:t xml:space="preserve">https://csrc.nist.gov/pubs/sp/800/40/r4/final</w:t>
      </w:r>
    </w:p>
    <w:p>
      <w:pPr>
        <w:pStyle w:val="BodyText"/>
      </w:pPr>
      <w:hyperlink r:id="rId54">
        <w:r>
          <w:rPr>
            <w:rStyle w:val="Hyperlink"/>
          </w:rPr>
          <w:t xml:space="preserve">https://csrc.nist.gov/pubs/sp/800/40/r4/final</w:t>
        </w:r>
      </w:hyperlink>
    </w:p>
    <w:p>
      <w:pPr>
        <w:pStyle w:val="BodyText"/>
      </w:pPr>
      <w:hyperlink r:id="rId55">
        <w:r>
          <w:rPr>
            <w:rStyle w:val="Hyperlink"/>
          </w:rPr>
          <w:t xml:space="preserve">[39]</w:t>
        </w:r>
      </w:hyperlink>
      <w:r>
        <w:t xml:space="preserve"> </w:t>
      </w:r>
      <w:hyperlink r:id="rId55">
        <w:r>
          <w:rPr>
            <w:rStyle w:val="Hyperlink"/>
          </w:rPr>
          <w:t xml:space="preserve">[52]</w:t>
        </w:r>
      </w:hyperlink>
      <w:r>
        <w:t xml:space="preserve"> </w:t>
      </w:r>
      <w:r>
        <w:t xml:space="preserve">https://csrc.nist.gov/pubs/sp/800/92/final</w:t>
      </w:r>
    </w:p>
    <w:p>
      <w:pPr>
        <w:pStyle w:val="BodyText"/>
      </w:pPr>
      <w:hyperlink r:id="rId55">
        <w:r>
          <w:rPr>
            <w:rStyle w:val="Hyperlink"/>
          </w:rPr>
          <w:t xml:space="preserve">https://csrc.nist.gov/pubs/sp/800/92/final</w:t>
        </w:r>
      </w:hyperlink>
    </w:p>
    <w:p>
      <w:pPr>
        <w:pStyle w:val="BodyText"/>
      </w:pPr>
      <w:hyperlink r:id="rId56">
        <w:r>
          <w:rPr>
            <w:rStyle w:val="Hyperlink"/>
          </w:rPr>
          <w:t xml:space="preserve">[40]</w:t>
        </w:r>
      </w:hyperlink>
      <w:r>
        <w:t xml:space="preserve"> </w:t>
      </w:r>
      <w:hyperlink r:id="rId56">
        <w:r>
          <w:rPr>
            <w:rStyle w:val="Hyperlink"/>
          </w:rPr>
          <w:t xml:space="preserve">[53]</w:t>
        </w:r>
      </w:hyperlink>
      <w:r>
        <w:t xml:space="preserve"> </w:t>
      </w:r>
      <w:r>
        <w:t xml:space="preserve">https://nvlpubs.nist.gov/nistpubs/SpecialPublications/NIST.SP.800-61r3.pdf</w:t>
      </w:r>
    </w:p>
    <w:p>
      <w:pPr>
        <w:pStyle w:val="BodyText"/>
      </w:pPr>
      <w:hyperlink r:id="rId56">
        <w:r>
          <w:rPr>
            <w:rStyle w:val="Hyperlink"/>
          </w:rPr>
          <w:t xml:space="preserve">https://nvlpubs.nist.gov/nistpubs/SpecialPublications/NIST.SP.800-61r3.pdf</w:t>
        </w:r>
      </w:hyperlink>
    </w:p>
    <w:p>
      <w:pPr>
        <w:pStyle w:val="BodyText"/>
      </w:pPr>
      <w:hyperlink r:id="rId60">
        <w:r>
          <w:rPr>
            <w:rStyle w:val="Hyperlink"/>
          </w:rPr>
          <w:t xml:space="preserve">[48]</w:t>
        </w:r>
      </w:hyperlink>
      <w:r>
        <w:t xml:space="preserve"> </w:t>
      </w:r>
      <w:r>
        <w:t xml:space="preserve">https://csrc.nist.gov/pubs/sp/800/190/final</w:t>
      </w:r>
    </w:p>
    <w:p>
      <w:pPr>
        <w:pStyle w:val="BodyText"/>
      </w:pPr>
      <w:hyperlink r:id="rId60">
        <w:r>
          <w:rPr>
            <w:rStyle w:val="Hyperlink"/>
          </w:rPr>
          <w:t xml:space="preserve">https://csrc.nist.gov/pubs/sp/800/190/final</w:t>
        </w:r>
      </w:hyperlink>
    </w:p>
    <w:p>
      <w:pPr>
        <w:pStyle w:val="BodyText"/>
      </w:pPr>
      <w:hyperlink r:id="rId61">
        <w:r>
          <w:rPr>
            <w:rStyle w:val="Hyperlink"/>
          </w:rPr>
          <w:t xml:space="preserve">[49]</w:t>
        </w:r>
      </w:hyperlink>
      <w:r>
        <w:t xml:space="preserve"> </w:t>
      </w:r>
      <w:r>
        <w:t xml:space="preserve">https://csrc.nist.gov/pubs/sp/800/204/a/final</w:t>
      </w:r>
    </w:p>
    <w:p>
      <w:pPr>
        <w:pStyle w:val="BodyText"/>
      </w:pPr>
      <w:hyperlink r:id="rId61">
        <w:r>
          <w:rPr>
            <w:rStyle w:val="Hyperlink"/>
          </w:rPr>
          <w:t xml:space="preserve">https://csrc.nist.gov/pubs/sp/800/204/a/final</w:t>
        </w:r>
      </w:hyperlink>
    </w:p>
    <w:p>
      <w:pPr>
        <w:pStyle w:val="BodyText"/>
      </w:pPr>
      <w:hyperlink r:id="rId68">
        <w:r>
          <w:rPr>
            <w:rStyle w:val="Hyperlink"/>
          </w:rPr>
          <w:t xml:space="preserve">[62]</w:t>
        </w:r>
      </w:hyperlink>
      <w:r>
        <w:t xml:space="preserve"> </w:t>
      </w:r>
      <w:hyperlink r:id="rId68">
        <w:r>
          <w:rPr>
            <w:rStyle w:val="Hyperlink"/>
          </w:rPr>
          <w:t xml:space="preserve">[72]</w:t>
        </w:r>
      </w:hyperlink>
      <w:r>
        <w:t xml:space="preserve"> </w:t>
      </w:r>
      <w:r>
        <w:t xml:space="preserve">https://picscheme.org/docview/4234</w:t>
      </w:r>
    </w:p>
    <w:p>
      <w:pPr>
        <w:pStyle w:val="BodyText"/>
      </w:pPr>
      <w:hyperlink r:id="rId68">
        <w:r>
          <w:rPr>
            <w:rStyle w:val="Hyperlink"/>
          </w:rPr>
          <w:t xml:space="preserve">https://picscheme.org/docview/4234</w:t>
        </w:r>
      </w:hyperlink>
    </w:p>
    <w:p>
      <w:pPr>
        <w:pStyle w:val="BodyText"/>
      </w:pPr>
      <w:hyperlink r:id="rId71">
        <w:r>
          <w:rPr>
            <w:rStyle w:val="Hyperlink"/>
          </w:rPr>
          <w:t xml:space="preserve">[74]</w:t>
        </w:r>
      </w:hyperlink>
      <w:r>
        <w:t xml:space="preserve"> </w:t>
      </w:r>
      <w:r>
        <w:t xml:space="preserve">MHRA GXP Data Integrity Guidance and Definitions</w:t>
      </w:r>
    </w:p>
    <w:p>
      <w:pPr>
        <w:pStyle w:val="BodyText"/>
      </w:pPr>
      <w:hyperlink r:id="rId71">
        <w:r>
          <w:rPr>
            <w:rStyle w:val="Hyperlink"/>
          </w:rPr>
          <w:t xml:space="preserve">https://assets.publishing.service.gov.uk/media/5aa2b9ede5274a3e391e37f3/MHRA_GxP_data_integrity_guide_March_edited_Final.pdf?utm_source=chatgpt.com</w:t>
        </w:r>
      </w:hyperlink>
    </w:p>
    <w:p>
      <w:pPr>
        <w:pStyle w:val="BodyText"/>
      </w:pPr>
      <w:hyperlink r:id="rId72">
        <w:r>
          <w:rPr>
            <w:rStyle w:val="Hyperlink"/>
          </w:rPr>
          <w:t xml:space="preserve">[83]</w:t>
        </w:r>
      </w:hyperlink>
      <w:r>
        <w:t xml:space="preserve"> </w:t>
      </w:r>
      <w:r>
        <w:t xml:space="preserve">https://trustedcomputinggroup.org/wp-content/uploads/TPM-2.0-Keys-for-Device-Identity-and-Attestation-v1.10r9_pub.pdf</w:t>
      </w:r>
    </w:p>
    <w:p>
      <w:pPr>
        <w:pStyle w:val="BodyText"/>
      </w:pPr>
      <w:hyperlink r:id="rId72">
        <w:r>
          <w:rPr>
            <w:rStyle w:val="Hyperlink"/>
          </w:rPr>
          <w:t xml:space="preserve">https://trustedcomputinggroup.org/wp-content/uploads/TPM-2.0-Keys-for-Device-Identity-and-Attestation-v1.10r9_pub.pdf</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ssets.publishing.service.gov.uk/media/5aa2b9ede5274a3e391e37f3/MHRA_GxP_data_integrity_guide_March_edited_Final.pdf?utm_source=chatgpt.com" TargetMode="External" /><Relationship Type="http://schemas.openxmlformats.org/officeDocument/2006/relationships/hyperlink" Id="rId40" Target="https://cdn.who.int/media/docs/default-source/medicines/norms-and-standards/guidelines/inspections/trs1033-annex4-guideline-on-data-integrity.pdf?download=true&amp;sfvrsn=6218a4e6_4" TargetMode="External" /><Relationship Type="http://schemas.openxmlformats.org/officeDocument/2006/relationships/hyperlink" Id="rId60" Target="https://csrc.nist.gov/pubs/sp/800/190/final" TargetMode="External" /><Relationship Type="http://schemas.openxmlformats.org/officeDocument/2006/relationships/hyperlink" Id="rId53" Target="https://csrc.nist.gov/pubs/sp/800/193/final" TargetMode="External" /><Relationship Type="http://schemas.openxmlformats.org/officeDocument/2006/relationships/hyperlink" Id="rId61" Target="https://csrc.nist.gov/pubs/sp/800/204/a/final" TargetMode="External" /><Relationship Type="http://schemas.openxmlformats.org/officeDocument/2006/relationships/hyperlink" Id="rId43" Target="https://csrc.nist.gov/pubs/sp/800/207/final?utm_source=chatgpt.com" TargetMode="External" /><Relationship Type="http://schemas.openxmlformats.org/officeDocument/2006/relationships/hyperlink" Id="rId54" Target="https://csrc.nist.gov/pubs/sp/800/40/r4/final" TargetMode="External" /><Relationship Type="http://schemas.openxmlformats.org/officeDocument/2006/relationships/hyperlink" Id="rId49" Target="https://csrc.nist.gov/pubs/sp/800/53/r5/upd1/final" TargetMode="External" /><Relationship Type="http://schemas.openxmlformats.org/officeDocument/2006/relationships/hyperlink" Id="rId51" Target="https://csrc.nist.gov/pubs/sp/800/57/pt1/r5/final" TargetMode="External" /><Relationship Type="http://schemas.openxmlformats.org/officeDocument/2006/relationships/hyperlink" Id="rId27" Target="https://csrc.nist.gov/pubs/sp/800/63/4/final" TargetMode="External" /><Relationship Type="http://schemas.openxmlformats.org/officeDocument/2006/relationships/hyperlink" Id="rId30" Target="https://csrc.nist.gov/pubs/sp/800/82/r3/final" TargetMode="External" /><Relationship Type="http://schemas.openxmlformats.org/officeDocument/2006/relationships/hyperlink" Id="rId55" Target="https://csrc.nist.gov/pubs/sp/800/92/final" TargetMode="External" /><Relationship Type="http://schemas.openxmlformats.org/officeDocument/2006/relationships/hyperlink" Id="rId36" Target="https://health.ec.europa.eu/document/download/104b3eb8-81a7-4858-9419-cb06562adb66_en" TargetMode="External" /><Relationship Type="http://schemas.openxmlformats.org/officeDocument/2006/relationships/hyperlink" Id="rId21" Target="https://health.ec.europa.eu/system/files/2016-11/annex11_01-2011_en_0.pdf" TargetMode="External" /><Relationship Type="http://schemas.openxmlformats.org/officeDocument/2006/relationships/hyperlink" Id="rId56" Target="https://nvlpubs.nist.gov/nistpubs/SpecialPublications/NIST.SP.800-61r3.pdf" TargetMode="External" /><Relationship Type="http://schemas.openxmlformats.org/officeDocument/2006/relationships/hyperlink" Id="rId52" Target="https://nvlpubs.nist.gov/nistpubs/specialpublications/nist.sp.800-218.pdf" TargetMode="External" /><Relationship Type="http://schemas.openxmlformats.org/officeDocument/2006/relationships/hyperlink" Id="rId68" Target="https://picscheme.org/docview/4234" TargetMode="External" /><Relationship Type="http://schemas.openxmlformats.org/officeDocument/2006/relationships/hyperlink" Id="rId50" Target="https://reference.opcfoundation.org/Core/Part1/v105/docs/4.4.1" TargetMode="External" /><Relationship Type="http://schemas.openxmlformats.org/officeDocument/2006/relationships/hyperlink" Id="rId72" Target="https://trustedcomputinggroup.org/wp-content/uploads/TPM-2.0-Keys-for-Device-Identity-and-Attestation-v1.10r9_pub.pdf" TargetMode="External" /><Relationship Type="http://schemas.openxmlformats.org/officeDocument/2006/relationships/hyperlink" Id="rId23" Target="https://www.ecfr.gov/current/title-21/chapter-I/subchapter-A/part-11?toc=1&amp;utm_source=chatgpt.com" TargetMode="External" /><Relationship Type="http://schemas.openxmlformats.org/officeDocument/2006/relationships/hyperlink" Id="rId22" Target="https://www.ecfr.gov/current/title-21/chapter-I/subchapter-A/part-11?utm_source=chatgpt.com" TargetMode="External" /><Relationship Type="http://schemas.openxmlformats.org/officeDocument/2006/relationships/hyperlink" Id="rId28" Target="https://www.ecfr.gov/current/title-21/chapter-I/subchapter-C/part-211/subpart-J/section-211.180" TargetMode="External" /><Relationship Type="http://schemas.openxmlformats.org/officeDocument/2006/relationships/hyperlink" Id="rId34" Target="https://www.ecfr.gov/current/title-21/chapter-I/subchapter-C/part-211/subpart-J/section-211.188" TargetMode="External" /><Relationship Type="http://schemas.openxmlformats.org/officeDocument/2006/relationships/hyperlink" Id="rId35" Target="https://www.fda.gov/media/119267/download" TargetMode="External" /><Relationship Type="http://schemas.openxmlformats.org/officeDocument/2006/relationships/hyperlink" Id="rId33" Target="https://www.isa.org/standards-and-publications/isa-standards/isa-95-standard" TargetMode="External" /><Relationship Type="http://schemas.openxmlformats.org/officeDocument/2006/relationships/hyperlink" Id="rId24" Target="https://www.w3.org/TR/prov-dm/" TargetMode="External" /><Relationship Type="http://schemas.openxmlformats.org/officeDocument/2006/relationships/hyperlink" Id="rId39" Target="https://www.w3.org/TR/rdf11-concepts/" TargetMode="External" /></Relationships>
</file>

<file path=word/_rels/footnotes.xml.rels><?xml version="1.0" encoding="UTF-8"?><Relationships xmlns="http://schemas.openxmlformats.org/package/2006/relationships"><Relationship Type="http://schemas.openxmlformats.org/officeDocument/2006/relationships/hyperlink" Id="rId71" Target="https://assets.publishing.service.gov.uk/media/5aa2b9ede5274a3e391e37f3/MHRA_GxP_data_integrity_guide_March_edited_Final.pdf?utm_source=chatgpt.com" TargetMode="External" /><Relationship Type="http://schemas.openxmlformats.org/officeDocument/2006/relationships/hyperlink" Id="rId40" Target="https://cdn.who.int/media/docs/default-source/medicines/norms-and-standards/guidelines/inspections/trs1033-annex4-guideline-on-data-integrity.pdf?download=true&amp;sfvrsn=6218a4e6_4" TargetMode="External" /><Relationship Type="http://schemas.openxmlformats.org/officeDocument/2006/relationships/hyperlink" Id="rId60" Target="https://csrc.nist.gov/pubs/sp/800/190/final" TargetMode="External" /><Relationship Type="http://schemas.openxmlformats.org/officeDocument/2006/relationships/hyperlink" Id="rId53" Target="https://csrc.nist.gov/pubs/sp/800/193/final" TargetMode="External" /><Relationship Type="http://schemas.openxmlformats.org/officeDocument/2006/relationships/hyperlink" Id="rId61" Target="https://csrc.nist.gov/pubs/sp/800/204/a/final" TargetMode="External" /><Relationship Type="http://schemas.openxmlformats.org/officeDocument/2006/relationships/hyperlink" Id="rId43" Target="https://csrc.nist.gov/pubs/sp/800/207/final?utm_source=chatgpt.com" TargetMode="External" /><Relationship Type="http://schemas.openxmlformats.org/officeDocument/2006/relationships/hyperlink" Id="rId54" Target="https://csrc.nist.gov/pubs/sp/800/40/r4/final" TargetMode="External" /><Relationship Type="http://schemas.openxmlformats.org/officeDocument/2006/relationships/hyperlink" Id="rId49" Target="https://csrc.nist.gov/pubs/sp/800/53/r5/upd1/final" TargetMode="External" /><Relationship Type="http://schemas.openxmlformats.org/officeDocument/2006/relationships/hyperlink" Id="rId51" Target="https://csrc.nist.gov/pubs/sp/800/57/pt1/r5/final" TargetMode="External" /><Relationship Type="http://schemas.openxmlformats.org/officeDocument/2006/relationships/hyperlink" Id="rId27" Target="https://csrc.nist.gov/pubs/sp/800/63/4/final" TargetMode="External" /><Relationship Type="http://schemas.openxmlformats.org/officeDocument/2006/relationships/hyperlink" Id="rId30" Target="https://csrc.nist.gov/pubs/sp/800/82/r3/final" TargetMode="External" /><Relationship Type="http://schemas.openxmlformats.org/officeDocument/2006/relationships/hyperlink" Id="rId55" Target="https://csrc.nist.gov/pubs/sp/800/92/final" TargetMode="External" /><Relationship Type="http://schemas.openxmlformats.org/officeDocument/2006/relationships/hyperlink" Id="rId36" Target="https://health.ec.europa.eu/document/download/104b3eb8-81a7-4858-9419-cb06562adb66_en" TargetMode="External" /><Relationship Type="http://schemas.openxmlformats.org/officeDocument/2006/relationships/hyperlink" Id="rId21" Target="https://health.ec.europa.eu/system/files/2016-11/annex11_01-2011_en_0.pdf" TargetMode="External" /><Relationship Type="http://schemas.openxmlformats.org/officeDocument/2006/relationships/hyperlink" Id="rId56" Target="https://nvlpubs.nist.gov/nistpubs/SpecialPublications/NIST.SP.800-61r3.pdf" TargetMode="External" /><Relationship Type="http://schemas.openxmlformats.org/officeDocument/2006/relationships/hyperlink" Id="rId52" Target="https://nvlpubs.nist.gov/nistpubs/specialpublications/nist.sp.800-218.pdf" TargetMode="External" /><Relationship Type="http://schemas.openxmlformats.org/officeDocument/2006/relationships/hyperlink" Id="rId68" Target="https://picscheme.org/docview/4234" TargetMode="External" /><Relationship Type="http://schemas.openxmlformats.org/officeDocument/2006/relationships/hyperlink" Id="rId50" Target="https://reference.opcfoundation.org/Core/Part1/v105/docs/4.4.1" TargetMode="External" /><Relationship Type="http://schemas.openxmlformats.org/officeDocument/2006/relationships/hyperlink" Id="rId72" Target="https://trustedcomputinggroup.org/wp-content/uploads/TPM-2.0-Keys-for-Device-Identity-and-Attestation-v1.10r9_pub.pdf" TargetMode="External" /><Relationship Type="http://schemas.openxmlformats.org/officeDocument/2006/relationships/hyperlink" Id="rId23" Target="https://www.ecfr.gov/current/title-21/chapter-I/subchapter-A/part-11?toc=1&amp;utm_source=chatgpt.com" TargetMode="External" /><Relationship Type="http://schemas.openxmlformats.org/officeDocument/2006/relationships/hyperlink" Id="rId22" Target="https://www.ecfr.gov/current/title-21/chapter-I/subchapter-A/part-11?utm_source=chatgpt.com" TargetMode="External" /><Relationship Type="http://schemas.openxmlformats.org/officeDocument/2006/relationships/hyperlink" Id="rId28" Target="https://www.ecfr.gov/current/title-21/chapter-I/subchapter-C/part-211/subpart-J/section-211.180" TargetMode="External" /><Relationship Type="http://schemas.openxmlformats.org/officeDocument/2006/relationships/hyperlink" Id="rId34" Target="https://www.ecfr.gov/current/title-21/chapter-I/subchapter-C/part-211/subpart-J/section-211.188" TargetMode="External" /><Relationship Type="http://schemas.openxmlformats.org/officeDocument/2006/relationships/hyperlink" Id="rId35" Target="https://www.fda.gov/media/119267/download" TargetMode="External" /><Relationship Type="http://schemas.openxmlformats.org/officeDocument/2006/relationships/hyperlink" Id="rId33" Target="https://www.isa.org/standards-and-publications/isa-standards/isa-95-standard" TargetMode="External" /><Relationship Type="http://schemas.openxmlformats.org/officeDocument/2006/relationships/hyperlink" Id="rId24" Target="https://www.w3.org/TR/prov-dm/" TargetMode="External" /><Relationship Type="http://schemas.openxmlformats.org/officeDocument/2006/relationships/hyperlink" Id="rId39" Target="https://www.w3.org/TR/rdf11-conce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2026-03-03T16:11:56Z</dcterms:created>
  <dcterms:modified xsi:type="dcterms:W3CDTF">2026-03-03T16:11:56Z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