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0" w:name="content"/>
    <w:bookmarkStart w:id="39" w:name="Xb8599ec23059663a221272f650b3e760f851044"/>
    <w:p>
      <w:pPr>
        <w:pStyle w:val="Heading1"/>
      </w:pPr>
      <w:r>
        <w:t xml:space="preserve">Plant Bus Commissioning Action Plan for Regulated Manufacturing</w:t>
      </w:r>
    </w:p>
    <w:bookmarkStart w:id="27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You can’t “commission an event bus” in a regulated area without</w:t>
      </w:r>
      <w:r>
        <w:t xml:space="preserve"> </w:t>
      </w:r>
      <w:r>
        <w:rPr>
          <w:b/>
          <w:bCs/>
        </w:rPr>
        <w:t xml:space="preserve">business-owned events, contracts, and validation gates</w:t>
      </w:r>
      <w:r>
        <w:t xml:space="preserve">. The broker and integration stack (Ignition + HighByte Intelligence Hub + HiveMQ) is necessary infrastructure, but it only produces value when directors define (and sign) the</w:t>
      </w:r>
      <w:r>
        <w:t xml:space="preserve"> </w:t>
      </w:r>
      <w:r>
        <w:rPr>
          <w:b/>
          <w:bCs/>
        </w:rPr>
        <w:t xml:space="preserve">MVP use cases</w:t>
      </w:r>
      <w:r>
        <w:t xml:space="preserve">, the</w:t>
      </w:r>
      <w:r>
        <w:t xml:space="preserve"> </w:t>
      </w:r>
      <w:r>
        <w:rPr>
          <w:b/>
          <w:bCs/>
        </w:rPr>
        <w:t xml:space="preserve">domain events</w:t>
      </w:r>
      <w:r>
        <w:t xml:space="preserve"> </w:t>
      </w:r>
      <w:r>
        <w:t xml:space="preserve">that drive those use cases, and the</w:t>
      </w:r>
      <w:r>
        <w:t xml:space="preserve"> </w:t>
      </w:r>
      <w:r>
        <w:rPr>
          <w:b/>
          <w:bCs/>
        </w:rPr>
        <w:t xml:space="preserve">data integrity / record-impact boundaries</w:t>
      </w:r>
      <w:r>
        <w:t xml:space="preserve"> </w:t>
      </w:r>
      <w:r>
        <w:t xml:space="preserve">that determine validation rigor. FDA’s CGMP data integrity guidance defines data integrity as completeness/consistency/accuracy and explicitly ties it to ALCOA and required metadata (e.g., timestamp, user ID, instrument ID, units); those expectations apply across creation through transmission and retention.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In parallel, 21 CFR 11.10 requires secure, computer-generated, time-stamped audit trails for electronic records (when Part 11 applies) and requires record changes not obscure prior information.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ISPE’s GAMP framework is explicitly oriented to ensuring computerized systems are fit for intended use and compliant.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On the technology side: Ignition’s IIoT architecture describes publishing edge/field data to a central MQTT broker (e.g., via MQTT Transmission / Edge MQTT) and subscribing consumers via MQTT Engine.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HighByte’s MQTT connection explicitly supports connecting to MQTT brokers to read/write messages and includes configuration for redundant brokers.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HiveMQ’s documentation explicitly covers broker security (TLS, authentication/authorization capabilities) and cluster replication of persisted data across nodes for resilience.</w:t>
      </w:r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</w:p>
    <w:bookmarkEnd w:id="27"/>
    <w:bookmarkStart w:id="30" w:name="assumptions"/>
    <w:p>
      <w:pPr>
        <w:pStyle w:val="Heading2"/>
      </w:pPr>
      <w:r>
        <w:t xml:space="preserve">Assumptions</w:t>
      </w:r>
    </w:p>
    <w:p>
      <w:pPr>
        <w:pStyle w:val="FirstParagraph"/>
      </w:pPr>
      <w:r>
        <w:t xml:space="preserve">Regulatory context is assumed to be GxP with data integrity expectations aligned to FDA CGMP guidance (ALCOA) and potential Part 11 applicability, but</w:t>
      </w:r>
      <w:r>
        <w:t xml:space="preserve"> </w:t>
      </w:r>
      <w:r>
        <w:rPr>
          <w:b/>
          <w:bCs/>
        </w:rPr>
        <w:t xml:space="preserve">your exact applicable regulations, product types, and inspection expectations are not specified</w:t>
      </w:r>
      <w:r>
        <w:t xml:space="preserve">; this plan therefore uses risk-based gates and requires Quality to classify “record impact” per use case.</w:t>
      </w:r>
      <w:r>
        <w:t xml:space="preserve"> </w:t>
      </w:r>
      <w:hyperlink r:id="rId21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t xml:space="preserve">Unspecified items that must be treated as assumptions until directors decide:</w:t>
      </w:r>
      <w:r>
        <w:t xml:space="preserve"> </w:t>
      </w:r>
      <w:r>
        <w:t xml:space="preserve">- Exact versions/licensing of Ignition modules and deployed patterns (central vs edge); the provided plan aligns to Ignition’s published IIoT/MQTT architecture description.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br/>
      </w:r>
      <w:r>
        <w:t xml:space="preserve">- Broker topology (single node vs cluster/HA), identity provider, network segmentation model, and whether events are evidence for batch release or other regulated decisions (record impact).</w:t>
      </w:r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br/>
      </w:r>
      <w:r>
        <w:t xml:space="preserve">- Whether Sparkplug-style state management is used; if so, Sparkplug’s STATE/BIRTH sequencing requirements become operationally relevant for availability/health semantics.</w:t>
      </w:r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</w:p>
    <w:bookmarkEnd w:id="30"/>
    <w:bookmarkStart w:id="32" w:name="director-actions-now"/>
    <w:p>
      <w:pPr>
        <w:pStyle w:val="Heading2"/>
      </w:pPr>
      <w:r>
        <w:t xml:space="preserve">Director actions now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VP Sponsor</w:t>
            </w:r>
          </w:p>
        </w:tc>
        <w:tc>
          <w:tcPr/>
          <w:p>
            <w:pPr>
              <w:pStyle w:val="Compact"/>
            </w:pPr>
            <w:r>
              <w:t xml:space="preserve">Manufacturing Director</w:t>
            </w:r>
          </w:p>
        </w:tc>
        <w:tc>
          <w:tcPr/>
          <w:p>
            <w:pPr>
              <w:pStyle w:val="Compact"/>
            </w:pPr>
            <w:r>
              <w:t xml:space="preserve">Quality Director</w:t>
            </w:r>
          </w:p>
        </w:tc>
        <w:tc>
          <w:tcPr/>
          <w:p>
            <w:pPr>
              <w:pStyle w:val="Compact"/>
            </w:pPr>
            <w:r>
              <w:t xml:space="preserve">Automation/Controls Director</w:t>
            </w:r>
          </w:p>
        </w:tc>
        <w:tc>
          <w:tcPr/>
          <w:p>
            <w:pPr>
              <w:pStyle w:val="Compact"/>
            </w:pPr>
            <w:r>
              <w:t xml:space="preserve">IT/OT Infrastructure Director</w:t>
            </w:r>
          </w:p>
        </w:tc>
        <w:tc>
          <w:tcPr/>
          <w:p>
            <w:pPr>
              <w:pStyle w:val="Compact"/>
            </w:pPr>
            <w:r>
              <w:t xml:space="preserve">MES/MOM Director</w:t>
            </w:r>
          </w:p>
        </w:tc>
        <w:tc>
          <w:tcPr/>
          <w:p>
            <w:pPr>
              <w:pStyle w:val="Compact"/>
            </w:pPr>
            <w:r>
              <w:t xml:space="preserve">QC/Lab Director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 Plant Bus charter + funding and name Design Authority chair</w:t>
            </w:r>
          </w:p>
        </w:tc>
        <w:tc>
          <w:tcPr/>
          <w:p>
            <w:pPr>
              <w:pStyle w:val="Compact"/>
            </w:pPr>
            <w:r>
              <w:t xml:space="preserve">Approve MVP use cases + name process SMEs with weekly hours committed</w:t>
            </w:r>
          </w:p>
        </w:tc>
        <w:tc>
          <w:tcPr/>
          <w:p>
            <w:pPr>
              <w:pStyle w:val="Compact"/>
            </w:pPr>
            <w:r>
              <w:t xml:space="preserve">Classify each MVP use case as record-impact vs informational; approve validation evidence expectations</w:t>
            </w:r>
          </w:p>
        </w:tc>
        <w:tc>
          <w:tcPr/>
          <w:p>
            <w:pPr>
              <w:pStyle w:val="Compact"/>
            </w:pPr>
            <w:r>
              <w:t xml:space="preserve">Confirm event producers (equipment/PLC/SCADA sources) + ownership for signal meaning</w:t>
            </w:r>
          </w:p>
        </w:tc>
        <w:tc>
          <w:tcPr/>
          <w:p>
            <w:pPr>
              <w:pStyle w:val="Compact"/>
            </w:pPr>
            <w:r>
              <w:t xml:space="preserve">Commit broker SLA, security baseline (TLS/authz), monitoring + on-call model</w:t>
            </w:r>
          </w:p>
        </w:tc>
        <w:tc>
          <w:tcPr/>
          <w:p>
            <w:pPr>
              <w:pStyle w:val="Compact"/>
            </w:pPr>
            <w:r>
              <w:t xml:space="preserve">Confirm system-of-record boundaries (MES vs bus) + consumer readiness</w:t>
            </w:r>
          </w:p>
        </w:tc>
        <w:tc>
          <w:tcPr/>
          <w:p>
            <w:pPr>
              <w:pStyle w:val="Compact"/>
            </w:pPr>
            <w:r>
              <w:t xml:space="preserve">Define lab/instrument event states (result available/approved/rejected) + metadata needed for integrity</w:t>
            </w:r>
          </w:p>
        </w:tc>
      </w:tr>
    </w:tbl>
    <w:p>
      <w:pPr>
        <w:pStyle w:val="BodyText"/>
      </w:pPr>
      <w:r>
        <w:t xml:space="preserve">Non-optional inputs required from directors (no input = no commissioning):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MVP use-case titles and priority order</w:t>
      </w:r>
      <w:r>
        <w:t xml:space="preserve"> </w:t>
      </w:r>
      <w:r>
        <w:t xml:space="preserve">for the new area (5–10 max for go-live).</w:t>
      </w:r>
      <w:r>
        <w:br/>
      </w:r>
      <w:r>
        <w:t xml:space="preserve">- For each MVP use case:</w:t>
      </w:r>
      <w:r>
        <w:t xml:space="preserve"> </w:t>
      </w:r>
      <w:r>
        <w:rPr>
          <w:b/>
          <w:bCs/>
        </w:rPr>
        <w:t xml:space="preserve">record-impact classification</w:t>
      </w:r>
      <w:r>
        <w:t xml:space="preserve"> </w:t>
      </w:r>
      <w:r>
        <w:t xml:space="preserve">(electronic record vs informational telemetry) and</w:t>
      </w:r>
      <w:r>
        <w:t xml:space="preserve"> </w:t>
      </w:r>
      <w:r>
        <w:rPr>
          <w:b/>
          <w:bCs/>
        </w:rPr>
        <w:t xml:space="preserve">system-of-record</w:t>
      </w:r>
      <w:r>
        <w:t xml:space="preserve"> </w:t>
      </w:r>
      <w:r>
        <w:t xml:space="preserve">decision.</w:t>
      </w:r>
      <w:r>
        <w:t xml:space="preserve"> </w:t>
      </w:r>
      <w:hyperlink r:id="rId22">
        <w:r>
          <w:rPr>
            <w:rStyle w:val="Hyperlink"/>
          </w:rPr>
          <w:t xml:space="preserve">[10]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Event ownership assignments</w:t>
      </w:r>
      <w:r>
        <w:t xml:space="preserve">: one business owner (meaning) and one technical owner (producer pipeline) per event.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Metadata minimums</w:t>
      </w:r>
      <w:r>
        <w:t xml:space="preserve"> </w:t>
      </w:r>
      <w:r>
        <w:t xml:space="preserve">per event type (timestamp source, user identity expectations, instrument/equipment identifiers, units, etc.), aligned to data integrity expectations.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Security decisions</w:t>
      </w:r>
      <w:r>
        <w:t xml:space="preserve">: who may publish/subscribe by topic class; TLS requirement; identity integration plan (broker authorization approach). HiveMQ documents TLS and authn/authz capabilities and expects deliberate configuration choices.</w:t>
      </w:r>
      <w:r>
        <w:t xml:space="preserve"> </w:t>
      </w:r>
      <w:hyperlink r:id="rId26">
        <w:r>
          <w:rPr>
            <w:rStyle w:val="Hyperlink"/>
          </w:rPr>
          <w:t xml:space="preserve">[11]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Operations/SLA targets</w:t>
      </w:r>
      <w:r>
        <w:t xml:space="preserve"> </w:t>
      </w:r>
      <w:r>
        <w:t xml:space="preserve">(uptime, recovery time, latency expectations) and the on-call model for broker, modeling/pipelines, and edge connectivity; broker monitoring is explicitly recommended as a production requirement.</w:t>
      </w:r>
      <w:r>
        <w:t xml:space="preserve"> </w:t>
      </w:r>
      <w:hyperlink r:id="rId31">
        <w:r>
          <w:rPr>
            <w:rStyle w:val="Hyperlink"/>
          </w:rPr>
          <w:t xml:space="preserve">[12]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Validation approach</w:t>
      </w:r>
      <w:r>
        <w:t xml:space="preserve"> </w:t>
      </w:r>
      <w:r>
        <w:t xml:space="preserve">proportional to risk (“fit for intended use”) and evidence deliverables for go/no-go gates.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bookmarkEnd w:id="32"/>
    <w:bookmarkStart w:id="34" w:name="recipe-for-success"/>
    <w:p>
      <w:pPr>
        <w:pStyle w:val="Heading2"/>
      </w:pPr>
      <w:r>
        <w:t xml:space="preserve">Recipe for success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b/>
          <w:bCs/>
        </w:rPr>
        <w:t xml:space="preserve">Establish governance and decision rights</w:t>
      </w:r>
      <w:r>
        <w:br/>
      </w:r>
      <w:r>
        <w:t xml:space="preserve">Owner role: VP Sponsor</w:t>
      </w:r>
      <w:r>
        <w:br/>
      </w:r>
      <w:r>
        <w:t xml:space="preserve">Deliverable: Signed charter naming Design Authority members, decision rights, funding, and “what success looks like” (KPIs + SLA targets)</w:t>
      </w:r>
      <w:r>
        <w:br/>
      </w:r>
      <w:r>
        <w:t xml:space="preserve">Timebox: Week 1</w:t>
      </w:r>
      <w:r>
        <w:br/>
      </w:r>
      <w:r>
        <w:t xml:space="preserve">Go/No-Go gate: No technical commissioning beyond connectivity until charter + authority are signed (GAMP principle: intended use drives scope).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2)</w:t>
      </w:r>
      <w:r>
        <w:t xml:space="preserve"> </w:t>
      </w:r>
      <w:r>
        <w:rPr>
          <w:b/>
          <w:bCs/>
        </w:rPr>
        <w:t xml:space="preserve">Define MVP outcomes and use-case portfolio</w:t>
      </w:r>
      <w:r>
        <w:br/>
      </w:r>
      <w:r>
        <w:t xml:space="preserve">Owner role: Manufacturing Director (co-sign: MES Director, QC/Lab Director, Quality Director)</w:t>
      </w:r>
      <w:r>
        <w:br/>
      </w:r>
      <w:r>
        <w:t xml:space="preserve">Deliverable: Ranked MVP use-case list + 1–2 sentence “intended use” per use case and initial KPIs</w:t>
      </w:r>
      <w:r>
        <w:br/>
      </w:r>
      <w:r>
        <w:t xml:space="preserve">Timebox: Week 1–2</w:t>
      </w:r>
      <w:r>
        <w:br/>
      </w:r>
      <w:r>
        <w:t xml:space="preserve">Go/No-Go gate: At least 5 MVP use cases approved with a single accountable director per use case (no owner = no build)</w:t>
      </w:r>
    </w:p>
    <w:p>
      <w:pPr>
        <w:pStyle w:val="BodyText"/>
      </w:pPr>
      <w:r>
        <w:t xml:space="preserve">3)</w:t>
      </w:r>
      <w:r>
        <w:t xml:space="preserve"> </w:t>
      </w:r>
      <w:r>
        <w:rPr>
          <w:b/>
          <w:bCs/>
        </w:rPr>
        <w:t xml:space="preserve">Classify record impact and data integrity requirements per use case</w:t>
      </w:r>
      <w:r>
        <w:br/>
      </w:r>
      <w:r>
        <w:t xml:space="preserve">Owner role: Quality Director</w:t>
      </w:r>
      <w:r>
        <w:br/>
      </w:r>
      <w:r>
        <w:t xml:space="preserve">Deliverable: For each MVP use case: record-impact classification, required metadata, audit trail expectations, retention expectations, and validation evidence level</w:t>
      </w:r>
      <w:r>
        <w:br/>
      </w:r>
      <w:r>
        <w:t xml:space="preserve">Timebox: Week 2</w:t>
      </w:r>
      <w:r>
        <w:br/>
      </w:r>
      <w:r>
        <w:t xml:space="preserve">Go/No-Go gate: “Record-impact” use cases must have written metadata + audit trail + retention expectations consistent with FDA data integrity guidance and Part 11 controls where applicable.</w:t>
      </w:r>
      <w:r>
        <w:t xml:space="preserve"> </w:t>
      </w:r>
      <w:hyperlink r:id="rId21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t xml:space="preserve">4)</w:t>
      </w:r>
      <w:r>
        <w:t xml:space="preserve"> </w:t>
      </w:r>
      <w:r>
        <w:rPr>
          <w:b/>
          <w:bCs/>
        </w:rPr>
        <w:t xml:space="preserve">Run event discovery and lock the event catalog</w:t>
      </w:r>
      <w:r>
        <w:br/>
      </w:r>
      <w:r>
        <w:t xml:space="preserve">Owner role: Manufacturing Director (facilitated by Plant Bus architect; Quality participates)</w:t>
      </w:r>
      <w:r>
        <w:br/>
      </w:r>
      <w:r>
        <w:t xml:space="preserve">Deliverable: Event Catalog v1 (event names, definitions, producer, consumers, criticality, frequency/latency, owner, record-impact flag)</w:t>
      </w:r>
      <w:r>
        <w:br/>
      </w:r>
      <w:r>
        <w:t xml:space="preserve">Timebox: Week 2–3</w:t>
      </w:r>
      <w:r>
        <w:br/>
      </w:r>
      <w:r>
        <w:t xml:space="preserve">Go/No-Go gate: Catalog is signed by Manufacturing + Quality; events without definitions/owners do not ship</w:t>
      </w:r>
    </w:p>
    <w:p>
      <w:pPr>
        <w:pStyle w:val="BodyText"/>
      </w:pPr>
      <w:r>
        <w:t xml:space="preserve">5)</w:t>
      </w:r>
      <w:r>
        <w:t xml:space="preserve"> </w:t>
      </w:r>
      <w:r>
        <w:rPr>
          <w:b/>
          <w:bCs/>
        </w:rPr>
        <w:t xml:space="preserve">Standardize namespace and contracts before building</w:t>
      </w:r>
      <w:r>
        <w:br/>
      </w:r>
      <w:r>
        <w:t xml:space="preserve">Owner role: IT/OT Infrastructure Director (co-sign: Automation Director + Quality Director for record-impact topics)</w:t>
      </w:r>
      <w:r>
        <w:br/>
      </w:r>
      <w:r>
        <w:t xml:space="preserve">Deliverable: Topic hierarchy standard + versioning rules + minimum contract fields (template below)</w:t>
      </w:r>
      <w:r>
        <w:br/>
      </w:r>
      <w:r>
        <w:t xml:space="preserve">Timebox: Week 3</w:t>
      </w:r>
      <w:r>
        <w:br/>
      </w:r>
      <w:r>
        <w:t xml:space="preserve">Go/No-Go gate: First consumer build cannot start until contract template and versioning rules are approved (prevents “tribal JSON” integrations)</w:t>
      </w:r>
    </w:p>
    <w:p>
      <w:pPr>
        <w:pStyle w:val="BodyText"/>
      </w:pPr>
      <w:r>
        <w:t xml:space="preserve">6)</w:t>
      </w:r>
      <w:r>
        <w:t xml:space="preserve"> </w:t>
      </w:r>
      <w:r>
        <w:rPr>
          <w:b/>
          <w:bCs/>
        </w:rPr>
        <w:t xml:space="preserve">Commission broker security, resilience, and observability baseline</w:t>
      </w:r>
      <w:r>
        <w:br/>
      </w:r>
      <w:r>
        <w:t xml:space="preserve">Owner role: IT/OT Infrastructure Director</w:t>
      </w:r>
      <w:r>
        <w:br/>
      </w:r>
      <w:r>
        <w:t xml:space="preserve">Deliverable: HiveMQ baseline: TLS enabled, authn/authz approach selected, monitoring dashboards and alerting, backup/restore plan, HA/clustering decision</w:t>
      </w:r>
      <w:r>
        <w:br/>
      </w:r>
      <w:r>
        <w:t xml:space="preserve">Timebox: Week 3–4</w:t>
      </w:r>
      <w:r>
        <w:br/>
      </w:r>
      <w:r>
        <w:t xml:space="preserve">Go/No-Go gate: No production publishing until TLS/authz and monitoring are in place; HiveMQ documents TLS configuration and emphasizes deliberate security/monitoring in critical deployments.</w:t>
      </w:r>
      <w:r>
        <w:t xml:space="preserve"> </w:t>
      </w:r>
      <w:hyperlink r:id="rId26">
        <w:r>
          <w:rPr>
            <w:rStyle w:val="Hyperlink"/>
          </w:rPr>
          <w:t xml:space="preserve">[13]</w:t>
        </w:r>
      </w:hyperlink>
      <w:r>
        <w:br/>
      </w:r>
      <w:r>
        <w:t xml:space="preserve">(If HA/cluster is required, HiveMQ cluster replication behavior must be validated for your SLA.)</w:t>
      </w:r>
      <w:r>
        <w:t xml:space="preserve"> </w:t>
      </w:r>
      <w:hyperlink r:id="rId28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t xml:space="preserve">7)</w:t>
      </w:r>
      <w:r>
        <w:t xml:space="preserve"> </w:t>
      </w:r>
      <w:r>
        <w:rPr>
          <w:b/>
          <w:bCs/>
        </w:rPr>
        <w:t xml:space="preserve">Commission producers and pipelines for MVP events</w:t>
      </w:r>
      <w:r>
        <w:br/>
      </w:r>
      <w:r>
        <w:t xml:space="preserve">Owner role: Automation/Controls Director (OT sources) + Plant Bus integration lead</w:t>
      </w:r>
      <w:r>
        <w:br/>
      </w:r>
      <w:r>
        <w:t xml:space="preserve">Deliverable: Ignition/edge sources publishing defined events to broker; HighByte pipelines/modeling producing standardized payloads where needed</w:t>
      </w:r>
      <w:r>
        <w:br/>
      </w:r>
      <w:r>
        <w:t xml:space="preserve">Timebox: Weeks 4–7</w:t>
      </w:r>
      <w:r>
        <w:br/>
      </w:r>
      <w:r>
        <w:t xml:space="preserve">Go/No-Go gate: Each MVP event must pass: (a) contract validation, (b) required metadata present, (c) producer health check, (d) topic authorization verified</w:t>
      </w:r>
      <w:r>
        <w:br/>
      </w:r>
      <w:r>
        <w:t xml:space="preserve">Support basis: Ignition’s IIoT architecture explicitly supports publishing to a broker and subscribing applications.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HighByte MQTT connection supports broker read/write and redundant broker configuration.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HighByte modeling combines multiple source systems into standardized information for upstream consumers.</w:t>
      </w:r>
      <w:r>
        <w:t xml:space="preserve"> </w:t>
      </w:r>
      <w:hyperlink r:id="rId33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t xml:space="preserve">8)</w:t>
      </w:r>
      <w:r>
        <w:t xml:space="preserve"> </w:t>
      </w:r>
      <w:r>
        <w:rPr>
          <w:b/>
          <w:bCs/>
        </w:rPr>
        <w:t xml:space="preserve">Commission consumers and workflows for MVP use cases</w:t>
      </w:r>
      <w:r>
        <w:br/>
      </w:r>
      <w:r>
        <w:t xml:space="preserve">Owner role: MES/MOM Director (MES workflows) and QC/Lab Director (instrument workflows)</w:t>
      </w:r>
      <w:r>
        <w:br/>
      </w:r>
      <w:r>
        <w:t xml:space="preserve">Deliverable: Consumer subscriptions + workflow actions + user-facing procedures (including review-by-exception where applicable)</w:t>
      </w:r>
      <w:r>
        <w:br/>
      </w:r>
      <w:r>
        <w:t xml:space="preserve">Timebox: Weeks 6–9</w:t>
      </w:r>
      <w:r>
        <w:br/>
      </w:r>
      <w:r>
        <w:t xml:space="preserve">Go/No-Go gate: Each MVP use case meets acceptance criteria, including data integrity checks (metadata completeness, units, traceability) consistent with FDA guidance.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9)</w:t>
      </w:r>
      <w:r>
        <w:t xml:space="preserve"> </w:t>
      </w:r>
      <w:r>
        <w:rPr>
          <w:b/>
          <w:bCs/>
        </w:rPr>
        <w:t xml:space="preserve">Execute performance, failure-mode, and recovery testing</w:t>
      </w:r>
      <w:r>
        <w:br/>
      </w:r>
      <w:r>
        <w:t xml:space="preserve">Owner role: IT/OT Infrastructure Director (broker) + Quality Director (evidence acceptance)</w:t>
      </w:r>
      <w:r>
        <w:br/>
      </w:r>
      <w:r>
        <w:t xml:space="preserve">Deliverable: Test evidence for latency, throughput, reconnect behavior, message persistence expectations, and recovery; documented incident playbooks</w:t>
      </w:r>
      <w:r>
        <w:br/>
      </w:r>
      <w:r>
        <w:t xml:space="preserve">Timebox: Week 10</w:t>
      </w:r>
      <w:r>
        <w:br/>
      </w:r>
      <w:r>
        <w:t xml:space="preserve">Go/No-Go gate: SLA tests pass and recovery procedures are proven; cluster replication behavior must meet your durability expectations if clustering is used.</w:t>
      </w:r>
      <w:r>
        <w:t xml:space="preserve"> </w:t>
      </w:r>
      <w:hyperlink r:id="rId28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t xml:space="preserve">10)</w:t>
      </w:r>
      <w:r>
        <w:t xml:space="preserve"> </w:t>
      </w:r>
      <w:r>
        <w:rPr>
          <w:b/>
          <w:bCs/>
        </w:rPr>
        <w:t xml:space="preserve">Go-live readiness review and operations handoff</w:t>
      </w:r>
      <w:r>
        <w:br/>
      </w:r>
      <w:r>
        <w:t xml:space="preserve">Owner role: VP Sponsor (chair), with Manufacturing + Quality sign-off</w:t>
      </w:r>
      <w:r>
        <w:br/>
      </w:r>
      <w:r>
        <w:t xml:space="preserve">Deliverable: Go-live package: signed intended use, event catalog, contracts, security baseline, monitoring, training completion, and validation evidence appropriate to risk (“fit for intended use”)</w:t>
      </w:r>
      <w:r>
        <w:br/>
      </w:r>
      <w:r>
        <w:t xml:space="preserve">Timebox: Weeks 11–12</w:t>
      </w:r>
      <w:r>
        <w:br/>
      </w:r>
      <w:r>
        <w:t xml:space="preserve">Go/No-Go gate: Quality approves record-impact use cases for release; Part 11 audit trail expectations are demonstrably met where applicable.</w:t>
      </w:r>
      <w:r>
        <w:t xml:space="preserve"> </w:t>
      </w:r>
      <w:hyperlink r:id="rId23">
        <w:r>
          <w:rPr>
            <w:rStyle w:val="Hyperlink"/>
          </w:rPr>
          <w:t xml:space="preserve">[17]</w:t>
        </w:r>
      </w:hyperlink>
    </w:p>
    <w:bookmarkEnd w:id="34"/>
    <w:bookmarkStart w:id="35" w:name="mvp-use-cases"/>
    <w:p>
      <w:pPr>
        <w:pStyle w:val="Heading2"/>
      </w:pPr>
      <w:r>
        <w:t xml:space="preserve">MVP use cases</w:t>
      </w:r>
    </w:p>
    <w:p>
      <w:pPr>
        <w:pStyle w:val="FirstParagraph"/>
      </w:pPr>
      <w:r>
        <w:t xml:space="preserve">Prioritized MVP use cases (titles only):</w:t>
      </w:r>
      <w:r>
        <w:t xml:space="preserve"> </w:t>
      </w:r>
      <w:r>
        <w:t xml:space="preserve">- Batch Started / Batch Completed event-to-MES synchronization</w:t>
      </w:r>
      <w:r>
        <w:br/>
      </w:r>
      <w:r>
        <w:t xml:space="preserve">- Material Weighing Completed with automatic record population</w:t>
      </w:r>
      <w:r>
        <w:br/>
      </w:r>
      <w:r>
        <w:t xml:space="preserve">- Equipment Hold Applied / Hold Released with reason codes</w:t>
      </w:r>
      <w:r>
        <w:br/>
      </w:r>
      <w:r>
        <w:t xml:space="preserve">- Sample Collected with chain-of-custody metadata</w:t>
      </w:r>
      <w:r>
        <w:br/>
      </w:r>
      <w:r>
        <w:t xml:space="preserve">- Analytical Result Available (raw)</w:t>
      </w:r>
      <w:r>
        <w:br/>
      </w:r>
      <w:r>
        <w:t xml:space="preserve">- Analytical Result Approved / Result Rejected (quality state change)</w:t>
      </w:r>
      <w:r>
        <w:br/>
      </w:r>
      <w:r>
        <w:t xml:space="preserve">- Critical Process Exception Detected (OOE/OOS trigger event)</w:t>
      </w:r>
      <w:r>
        <w:br/>
      </w:r>
      <w:r>
        <w:t xml:space="preserve">- Manual transcription elimination for defined critical readings at defined steps</w:t>
      </w:r>
    </w:p>
    <w:bookmarkEnd w:id="35"/>
    <w:bookmarkStart w:id="36" w:name="minimum-event-contract"/>
    <w:p>
      <w:pPr>
        <w:pStyle w:val="Heading2"/>
      </w:pPr>
      <w:r>
        <w:t xml:space="preserve">Minimum event contract</w:t>
      </w:r>
    </w:p>
    <w:p>
      <w:pPr>
        <w:pStyle w:val="FirstParagraph"/>
      </w:pPr>
      <w:r>
        <w:t xml:space="preserve">Minimum event contract template (fields only):</w:t>
      </w:r>
      <w:r>
        <w:t xml:space="preserve"> </w:t>
      </w:r>
      <w:r>
        <w:t xml:space="preserve">- event_id</w:t>
      </w:r>
      <w:r>
        <w:br/>
      </w:r>
      <w:r>
        <w:t xml:space="preserve">- event_type</w:t>
      </w:r>
      <w:r>
        <w:br/>
      </w:r>
      <w:r>
        <w:t xml:space="preserve">- event_version</w:t>
      </w:r>
      <w:r>
        <w:br/>
      </w:r>
      <w:r>
        <w:t xml:space="preserve">- occurred_at_utc</w:t>
      </w:r>
      <w:r>
        <w:br/>
      </w:r>
      <w:r>
        <w:t xml:space="preserve">- produced_at_utc</w:t>
      </w:r>
      <w:r>
        <w:br/>
      </w:r>
      <w:r>
        <w:t xml:space="preserve">- site</w:t>
      </w:r>
      <w:r>
        <w:br/>
      </w:r>
      <w:r>
        <w:t xml:space="preserve">- area</w:t>
      </w:r>
      <w:r>
        <w:br/>
      </w:r>
      <w:r>
        <w:t xml:space="preserve">- line_or_cell</w:t>
      </w:r>
      <w:r>
        <w:br/>
      </w:r>
      <w:r>
        <w:t xml:space="preserve">- asset_id</w:t>
      </w:r>
      <w:r>
        <w:br/>
      </w:r>
      <w:r>
        <w:t xml:space="preserve">- asset_type</w:t>
      </w:r>
      <w:r>
        <w:br/>
      </w:r>
      <w:r>
        <w:t xml:space="preserve">- source_system</w:t>
      </w:r>
      <w:r>
        <w:br/>
      </w:r>
      <w:r>
        <w:t xml:space="preserve">- producer_instance_id</w:t>
      </w:r>
      <w:r>
        <w:br/>
      </w:r>
      <w:r>
        <w:t xml:space="preserve">- batch_id</w:t>
      </w:r>
      <w:r>
        <w:br/>
      </w:r>
      <w:r>
        <w:t xml:space="preserve">- lot_id</w:t>
      </w:r>
      <w:r>
        <w:br/>
      </w:r>
      <w:r>
        <w:t xml:space="preserve">- work_order_id</w:t>
      </w:r>
      <w:r>
        <w:br/>
      </w:r>
      <w:r>
        <w:t xml:space="preserve">- material_id</w:t>
      </w:r>
      <w:r>
        <w:br/>
      </w:r>
      <w:r>
        <w:t xml:space="preserve">- material_status</w:t>
      </w:r>
      <w:r>
        <w:br/>
      </w:r>
      <w:r>
        <w:t xml:space="preserve">- sample_id</w:t>
      </w:r>
      <w:r>
        <w:br/>
      </w:r>
      <w:r>
        <w:t xml:space="preserve">- test_id</w:t>
      </w:r>
      <w:r>
        <w:br/>
      </w:r>
      <w:r>
        <w:t xml:space="preserve">- instrument_id</w:t>
      </w:r>
      <w:r>
        <w:br/>
      </w:r>
      <w:r>
        <w:t xml:space="preserve">- user_id</w:t>
      </w:r>
      <w:r>
        <w:br/>
      </w:r>
      <w:r>
        <w:t xml:space="preserve">- unit_of_measure</w:t>
      </w:r>
      <w:r>
        <w:br/>
      </w:r>
      <w:r>
        <w:t xml:space="preserve">- value</w:t>
      </w:r>
      <w:r>
        <w:br/>
      </w:r>
      <w:r>
        <w:t xml:space="preserve">- value_type</w:t>
      </w:r>
      <w:r>
        <w:br/>
      </w:r>
      <w:r>
        <w:t xml:space="preserve">- quality_code</w:t>
      </w:r>
      <w:r>
        <w:br/>
      </w:r>
      <w:r>
        <w:t xml:space="preserve">- reason_code</w:t>
      </w:r>
      <w:r>
        <w:br/>
      </w:r>
      <w:r>
        <w:t xml:space="preserve">- comment</w:t>
      </w:r>
      <w:r>
        <w:br/>
      </w:r>
      <w:r>
        <w:t xml:space="preserve">- correlation_id</w:t>
      </w:r>
      <w:r>
        <w:br/>
      </w:r>
      <w:r>
        <w:t xml:space="preserve">- causation_id</w:t>
      </w:r>
      <w:r>
        <w:br/>
      </w:r>
      <w:r>
        <w:t xml:space="preserve">- data_classification (e.g., gxp_record_impact yes/no)</w:t>
      </w:r>
      <w:r>
        <w:br/>
      </w:r>
      <w:r>
        <w:t xml:space="preserve">- audit_trail_ref (system-of-record pointer)</w:t>
      </w:r>
      <w:r>
        <w:br/>
      </w:r>
      <w:r>
        <w:t xml:space="preserve">- retention_class</w:t>
      </w:r>
      <w:r>
        <w:br/>
      </w:r>
      <w:r>
        <w:t xml:space="preserve">- checksum_or_hash (if used)</w:t>
      </w:r>
    </w:p>
    <w:p>
      <w:pPr>
        <w:pStyle w:val="BodyText"/>
      </w:pPr>
      <w:r>
        <w:t xml:space="preserve">(These fields intentionally align to FDA guidance emphasis that meaningful CGMP data requires metadata such as timestamps, user ID, instrument ID, units, status, and audit trail associations.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)</w:t>
      </w:r>
    </w:p>
    <w:bookmarkEnd w:id="36"/>
    <w:bookmarkStart w:id="37" w:name="kpis-and-operating-targets"/>
    <w:p>
      <w:pPr>
        <w:pStyle w:val="Heading2"/>
      </w:pPr>
      <w:r>
        <w:t xml:space="preserve">KPIs and operating targets</w:t>
      </w:r>
    </w:p>
    <w:p>
      <w:pPr>
        <w:pStyle w:val="FirstParagraph"/>
      </w:pPr>
      <w:r>
        <w:t xml:space="preserve">Top 5 KPIs to measure Plant Bus commissioning success: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MVP adoption:</w:t>
      </w:r>
      <w:r>
        <w:t xml:space="preserve"> </w:t>
      </w:r>
      <w:r>
        <w:t xml:space="preserve">% of targeted shifts/batches using Plant Bus-backed workflows (per use case)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Transcription elimination:</w:t>
      </w:r>
      <w:r>
        <w:t xml:space="preserve"> </w:t>
      </w:r>
      <w:r>
        <w:t xml:space="preserve">count of eliminated manual entries (or hours saved) tied to the MVP use cases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End-to-end event latency:</w:t>
      </w:r>
      <w:r>
        <w:t xml:space="preserve"> </w:t>
      </w:r>
      <w:r>
        <w:t xml:space="preserve">p95 time from occurred_at to consumer action (per critical event type)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Contract compliance:</w:t>
      </w:r>
      <w:r>
        <w:t xml:space="preserve"> </w:t>
      </w:r>
      <w:r>
        <w:t xml:space="preserve">% of events meeting required metadata completeness (ALCOA/traceability fields present)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Platform reliability:</w:t>
      </w:r>
      <w:r>
        <w:t xml:space="preserve"> </w:t>
      </w:r>
      <w:r>
        <w:t xml:space="preserve">broker availability + MTTR + number of severity-1 integration incidents; HiveMQ explicitly positions monitoring as essential in production, especially clustered environments</w:t>
      </w:r>
      <w:r>
        <w:t xml:space="preserve"> </w:t>
      </w:r>
      <w:hyperlink r:id="rId31">
        <w:r>
          <w:rPr>
            <w:rStyle w:val="Hyperlink"/>
          </w:rPr>
          <w:t xml:space="preserve">[12]</w:t>
        </w:r>
      </w:hyperlink>
    </w:p>
    <w:bookmarkEnd w:id="37"/>
    <w:bookmarkStart w:id="38" w:name="twelve-week-commissioning-plan"/>
    <w:p>
      <w:pPr>
        <w:pStyle w:val="Heading2"/>
      </w:pPr>
      <w:r>
        <w:t xml:space="preserve">Twelve-week commissioning plan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  title Plant Bus commissioning (12 weeks)</w:t>
      </w:r>
      <w:r>
        <w:br/>
      </w:r>
      <w:r>
        <w:rPr>
          <w:rStyle w:val="VerbatimChar"/>
        </w:rPr>
        <w:t xml:space="preserve">    dateFormat  YYYY-MM-DD</w:t>
      </w:r>
      <w:r>
        <w:br/>
      </w:r>
      <w:r>
        <w:rPr>
          <w:rStyle w:val="VerbatimChar"/>
        </w:rPr>
        <w:t xml:space="preserve">    axisFormat  %b %d</w:t>
      </w:r>
      <w:r>
        <w:br/>
      </w:r>
      <w:r>
        <w:br/>
      </w:r>
      <w:r>
        <w:rPr>
          <w:rStyle w:val="VerbatimChar"/>
        </w:rPr>
        <w:t xml:space="preserve">    section Governance &amp; requirements</w:t>
      </w:r>
      <w:r>
        <w:br/>
      </w:r>
      <w:r>
        <w:rPr>
          <w:rStyle w:val="VerbatimChar"/>
        </w:rPr>
        <w:t xml:space="preserve">    Charter + Design Authority (Step 1)           :a1, 2026-03-09, 5d</w:t>
      </w:r>
      <w:r>
        <w:br/>
      </w:r>
      <w:r>
        <w:rPr>
          <w:rStyle w:val="VerbatimChar"/>
        </w:rPr>
        <w:t xml:space="preserve">    MVP use cases + intended use (Step 2)         :a2, 2026-03-09, 10d</w:t>
      </w:r>
      <w:r>
        <w:br/>
      </w:r>
      <w:r>
        <w:rPr>
          <w:rStyle w:val="VerbatimChar"/>
        </w:rPr>
        <w:t xml:space="preserve">    Record-impact + integrity classification (3)  :a3, 2026-03-16, 5d</w:t>
      </w:r>
      <w:r>
        <w:br/>
      </w:r>
      <w:r>
        <w:rPr>
          <w:rStyle w:val="VerbatimChar"/>
        </w:rPr>
        <w:t xml:space="preserve">    Event catalog workshop + sign-off (4)         :a4, 2026-03-16, 10d</w:t>
      </w:r>
      <w:r>
        <w:br/>
      </w:r>
      <w:r>
        <w:rPr>
          <w:rStyle w:val="VerbatimChar"/>
        </w:rPr>
        <w:t xml:space="preserve">    Namespace + contract standards (5)            :a5, 2026-03-23, 5d</w:t>
      </w:r>
      <w:r>
        <w:br/>
      </w:r>
      <w:r>
        <w:br/>
      </w:r>
      <w:r>
        <w:rPr>
          <w:rStyle w:val="VerbatimChar"/>
        </w:rPr>
        <w:t xml:space="preserve">    section Platform baseline</w:t>
      </w:r>
      <w:r>
        <w:br/>
      </w:r>
      <w:r>
        <w:rPr>
          <w:rStyle w:val="VerbatimChar"/>
        </w:rPr>
        <w:t xml:space="preserve">    HiveMQ security/monitoring/HA decision (6)    :b1, 2026-03-23, 10d</w:t>
      </w:r>
      <w:r>
        <w:br/>
      </w:r>
      <w:r>
        <w:br/>
      </w:r>
      <w:r>
        <w:rPr>
          <w:rStyle w:val="VerbatimChar"/>
        </w:rPr>
        <w:t xml:space="preserve">    section Build &amp; commission</w:t>
      </w:r>
      <w:r>
        <w:br/>
      </w:r>
      <w:r>
        <w:rPr>
          <w:rStyle w:val="VerbatimChar"/>
        </w:rPr>
        <w:t xml:space="preserve">    Producers + HighByte modeling/pipelines (7)   :c1, 2026-03-30, 20d</w:t>
      </w:r>
      <w:r>
        <w:br/>
      </w:r>
      <w:r>
        <w:rPr>
          <w:rStyle w:val="VerbatimChar"/>
        </w:rPr>
        <w:t xml:space="preserve">    Consumers + workflows + SOP updates (8)       :c2, 2026-04-13, 20d</w:t>
      </w:r>
      <w:r>
        <w:br/>
      </w:r>
      <w:r>
        <w:br/>
      </w:r>
      <w:r>
        <w:rPr>
          <w:rStyle w:val="VerbatimChar"/>
        </w:rPr>
        <w:t xml:space="preserve">    section Evidence &amp; release</w:t>
      </w:r>
      <w:r>
        <w:br/>
      </w:r>
      <w:r>
        <w:rPr>
          <w:rStyle w:val="VerbatimChar"/>
        </w:rPr>
        <w:t xml:space="preserve">    Performance/failure/recovery testing (9)      :d1, 2026-05-18, 5d</w:t>
      </w:r>
      <w:r>
        <w:br/>
      </w:r>
      <w:r>
        <w:rPr>
          <w:rStyle w:val="VerbatimChar"/>
        </w:rPr>
        <w:t xml:space="preserve">    Go-live readiness + training + handoff (10)   :d2, 2026-05-25, 10d</w:t>
      </w:r>
    </w:p>
    <w:bookmarkEnd w:id="38"/>
    <w:bookmarkEnd w:id="39"/>
    <w:bookmarkEnd w:id="40"/>
    <w:p>
      <w:r>
        <w:pict>
          <v:rect style="width:0;height:1.5pt" o:hralign="center" o:hrstd="t" o:hr="t"/>
        </w:pict>
      </w:r>
    </w:p>
    <w:bookmarkStart w:id="41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Guidance for Industry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https://www.fda.gov/media/119267/download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 </w:t>
      </w:r>
      <w:r>
        <w:t xml:space="preserve">eCFR :: 21 CFR 11.10 -- Controls for closed systems.</w:t>
      </w:r>
      <w:r>
        <w:t xml:space="preserve"> 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https://www.ecfr.gov/current/title-21/chapter-I/subchapter-A/part-11/subpart-B/section-11.10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GAMP 5 Guide 2nd Edition | ISPE | International Society for Pharmaceutical Engineering</w:t>
      </w:r>
    </w:p>
    <w:p>
      <w:pPr>
        <w:pStyle w:val="BodyText"/>
      </w:pPr>
      <w:hyperlink r:id="rId23">
        <w:r>
          <w:rPr>
            <w:rStyle w:val="Hyperlink"/>
          </w:rPr>
          <w:t xml:space="preserve">https://ispe.org/publications/guidance-documents/gamp-5-guide-2nd-edition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IIoT Architecture | Ignition User Manual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https://www.docs.inductiveautomation.com/docs/7.9/getting-started/system-architectures/iiot-architecture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MQTT | User Guide</w:t>
      </w:r>
    </w:p>
    <w:p>
      <w:pPr>
        <w:pStyle w:val="BodyText"/>
      </w:pPr>
      <w:hyperlink r:id="rId25">
        <w:r>
          <w:rPr>
            <w:rStyle w:val="Hyperlink"/>
          </w:rPr>
          <w:t xml:space="preserve">https://guide.highbyte.com/configuration/connect/connections/mqtt/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[11]</w:t>
        </w:r>
      </w:hyperlink>
      <w:r>
        <w:t xml:space="preserve"> </w:t>
      </w:r>
      <w:hyperlink r:id="rId26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Security Features of HiveMQ :: HiveMQ Documentation</w:t>
      </w:r>
    </w:p>
    <w:p>
      <w:pPr>
        <w:pStyle w:val="BodyText"/>
      </w:pPr>
      <w:hyperlink r:id="rId26">
        <w:r>
          <w:rPr>
            <w:rStyle w:val="Hyperlink"/>
          </w:rPr>
          <w:t xml:space="preserve">https://docs.hivemq.com/hivemq/latest/user-guide/security.html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8">
        <w:r>
          <w:rPr>
            <w:rStyle w:val="Hyperlink"/>
          </w:rPr>
          <w:t xml:space="preserve">[14]</w:t>
        </w:r>
      </w:hyperlink>
      <w:r>
        <w:t xml:space="preserve"> </w:t>
      </w:r>
      <w:hyperlink r:id="rId28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HiveMQ MQTT Broker Clusters :: HiveMQ Documentation</w:t>
      </w:r>
    </w:p>
    <w:p>
      <w:pPr>
        <w:pStyle w:val="BodyText"/>
      </w:pPr>
      <w:hyperlink r:id="rId28">
        <w:r>
          <w:rPr>
            <w:rStyle w:val="Hyperlink"/>
          </w:rPr>
          <w:t xml:space="preserve">https://docs.hivemq.com/hivemq/latest/user-guide/cluster.html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Sparkplug 3.0.0: Sparkplug Specification</w:t>
      </w:r>
    </w:p>
    <w:p>
      <w:pPr>
        <w:pStyle w:val="BodyText"/>
      </w:pPr>
      <w:hyperlink r:id="rId29">
        <w:r>
          <w:rPr>
            <w:rStyle w:val="Hyperlink"/>
          </w:rPr>
          <w:t xml:space="preserve">https://sparkplug.eclipse.org/specification/version/3.0/documents/sparkplug-specification-3.0.0.pdf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Monitoring :: HiveMQ Documentation</w:t>
      </w:r>
    </w:p>
    <w:p>
      <w:pPr>
        <w:pStyle w:val="BodyText"/>
      </w:pPr>
      <w:hyperlink r:id="rId31">
        <w:r>
          <w:rPr>
            <w:rStyle w:val="Hyperlink"/>
          </w:rPr>
          <w:t xml:space="preserve">https://docs.hivemq.com/hivemq/latest/user-guide/monitoring.html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Model | User Guide</w:t>
      </w:r>
    </w:p>
    <w:p>
      <w:pPr>
        <w:pStyle w:val="BodyText"/>
      </w:pPr>
      <w:hyperlink r:id="rId33">
        <w:r>
          <w:rPr>
            <w:rStyle w:val="Hyperlink"/>
          </w:rPr>
          <w:t xml:space="preserve">https://guide.highbyte.com/configuration/model/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s://docs.hivemq.com/hivemq/latest/user-guide/cluster.html" TargetMode="External" /><Relationship Type="http://schemas.openxmlformats.org/officeDocument/2006/relationships/hyperlink" Id="rId31" Target="https://docs.hivemq.com/hivemq/latest/user-guide/monitoring.html" TargetMode="External" /><Relationship Type="http://schemas.openxmlformats.org/officeDocument/2006/relationships/hyperlink" Id="rId26" Target="https://docs.hivemq.com/hivemq/latest/user-guide/security.html" TargetMode="External" /><Relationship Type="http://schemas.openxmlformats.org/officeDocument/2006/relationships/hyperlink" Id="rId25" Target="https://guide.highbyte.com/configuration/connect/connections/mqtt/" TargetMode="External" /><Relationship Type="http://schemas.openxmlformats.org/officeDocument/2006/relationships/hyperlink" Id="rId33" Target="https://guide.highbyte.com/configuration/model/" TargetMode="External" /><Relationship Type="http://schemas.openxmlformats.org/officeDocument/2006/relationships/hyperlink" Id="rId23" Target="https://ispe.org/publications/guidance-documents/gamp-5-guide-2nd-edition" TargetMode="External" /><Relationship Type="http://schemas.openxmlformats.org/officeDocument/2006/relationships/hyperlink" Id="rId29" Target="https://sparkplug.eclipse.org/specification/version/3.0/documents/sparkplug-specification-3.0.0.pdf" TargetMode="External" /><Relationship Type="http://schemas.openxmlformats.org/officeDocument/2006/relationships/hyperlink" Id="rId24" Target="https://www.docs.inductiveautomation.com/docs/7.9/getting-started/system-architectures/iiot-architecture" TargetMode="External" /><Relationship Type="http://schemas.openxmlformats.org/officeDocument/2006/relationships/hyperlink" Id="rId22" Target="https://www.ecfr.gov/current/title-21/chapter-I/subchapter-A/part-11/subpart-B/section-11.10" TargetMode="External" /><Relationship Type="http://schemas.openxmlformats.org/officeDocument/2006/relationships/hyperlink" Id="rId21" Target="https://www.fda.gov/media/119267/downloa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docs.hivemq.com/hivemq/latest/user-guide/cluster.html" TargetMode="External" /><Relationship Type="http://schemas.openxmlformats.org/officeDocument/2006/relationships/hyperlink" Id="rId31" Target="https://docs.hivemq.com/hivemq/latest/user-guide/monitoring.html" TargetMode="External" /><Relationship Type="http://schemas.openxmlformats.org/officeDocument/2006/relationships/hyperlink" Id="rId26" Target="https://docs.hivemq.com/hivemq/latest/user-guide/security.html" TargetMode="External" /><Relationship Type="http://schemas.openxmlformats.org/officeDocument/2006/relationships/hyperlink" Id="rId25" Target="https://guide.highbyte.com/configuration/connect/connections/mqtt/" TargetMode="External" /><Relationship Type="http://schemas.openxmlformats.org/officeDocument/2006/relationships/hyperlink" Id="rId33" Target="https://guide.highbyte.com/configuration/model/" TargetMode="External" /><Relationship Type="http://schemas.openxmlformats.org/officeDocument/2006/relationships/hyperlink" Id="rId23" Target="https://ispe.org/publications/guidance-documents/gamp-5-guide-2nd-edition" TargetMode="External" /><Relationship Type="http://schemas.openxmlformats.org/officeDocument/2006/relationships/hyperlink" Id="rId29" Target="https://sparkplug.eclipse.org/specification/version/3.0/documents/sparkplug-specification-3.0.0.pdf" TargetMode="External" /><Relationship Type="http://schemas.openxmlformats.org/officeDocument/2006/relationships/hyperlink" Id="rId24" Target="https://www.docs.inductiveautomation.com/docs/7.9/getting-started/system-architectures/iiot-architecture" TargetMode="External" /><Relationship Type="http://schemas.openxmlformats.org/officeDocument/2006/relationships/hyperlink" Id="rId22" Target="https://www.ecfr.gov/current/title-21/chapter-I/subchapter-A/part-11/subpart-B/section-11.10" TargetMode="External" /><Relationship Type="http://schemas.openxmlformats.org/officeDocument/2006/relationships/hyperlink" Id="rId21" Target="https://www.fda.gov/media/119267/downloa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2026-03-03T22:17:55Z</dcterms:created>
  <dcterms:modified xsi:type="dcterms:W3CDTF">2026-03-03T22:17:55Z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