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cc4b54d800d3ba062ab7f92719a2e9d04bb5cc0"/>
    <w:p>
      <w:pPr>
        <w:pStyle w:val="Heading1"/>
      </w:pPr>
      <w:r>
        <w:t xml:space="preserve">Integration Test Plan for DeltaV &amp; Event‑Driven Architecture</w:t>
      </w:r>
    </w:p>
    <w:bookmarkStart w:id="23" w:name="scope-and-objectives"/>
    <w:p>
      <w:pPr>
        <w:pStyle w:val="Heading2"/>
      </w:pPr>
      <w:r>
        <w:t xml:space="preserve">1 Scope and objectives</w:t>
      </w:r>
    </w:p>
    <w:p>
      <w:pPr>
        <w:pStyle w:val="FirstParagraph"/>
      </w:pPr>
      <w:r>
        <w:t xml:space="preserve">1.1 Verify that DeltaV process values, batch events, alarms and user actions flow reliably through HighByte, HiveMQ and the unified namespace to Ignition, PI, the event database and the data lake.</w:t>
      </w:r>
      <w:r>
        <w:br/>
      </w:r>
      <w:r>
        <w:t xml:space="preserve">1.2 Confirm that metadata (timestamps, quality flags, sequence numbers) and contextual attributes (unit, batch ID, tag name) are preserved end‑to‑end.</w:t>
      </w:r>
      <w:r>
        <w:br/>
      </w:r>
      <w:r>
        <w:t xml:space="preserve">1.3 Exercise security controls, high‑availability features and time‑synchronisation across all components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1.4 Employ a mix of exploratory (“unscripted”) and scripted testing aligned with FDA’s risk‑based CSA guidance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4" w:name="test-environment"/>
    <w:p>
      <w:pPr>
        <w:pStyle w:val="Heading2"/>
      </w:pPr>
      <w:r>
        <w:t xml:space="preserve">2 Test environment</w:t>
      </w:r>
    </w:p>
    <w:p>
      <w:pPr>
        <w:pStyle w:val="FirstParagraph"/>
      </w:pPr>
      <w:r>
        <w:t xml:space="preserve">2.1 Install DeltaV controllers, professional‑plus station, continuous historian and event chronicle.</w:t>
      </w:r>
      <w:r>
        <w:br/>
      </w:r>
      <w:r>
        <w:t xml:space="preserve">2.2 Deploy HighByte Intelligence Hub connected to DeltaV OPC DA/UA and event chronicle; configure Sparkplug B models and topics.</w:t>
      </w:r>
      <w:r>
        <w:br/>
      </w:r>
      <w:r>
        <w:t xml:space="preserve">2.3 Deploy HiveMQ cluster with TLS and certificate‑based authentication.</w:t>
      </w:r>
      <w:r>
        <w:br/>
      </w:r>
      <w:r>
        <w:t xml:space="preserve">2.4 Deploy Ignition gateway subscribed to MQTT topics; configure alarming and audit trail.</w:t>
      </w:r>
      <w:r>
        <w:br/>
      </w:r>
      <w:r>
        <w:t xml:space="preserve">2.5 Deploy PI historian with DeltaV interfaces; deploy event database and data‑lake ingestion pipeline.</w:t>
      </w:r>
      <w:r>
        <w:br/>
      </w:r>
      <w:r>
        <w:t xml:space="preserve">2.6 Synchronise all systems to a common NTP/PTP time source.</w:t>
      </w:r>
    </w:p>
    <w:bookmarkEnd w:id="24"/>
    <w:bookmarkStart w:id="33" w:name="test-cases"/>
    <w:p>
      <w:pPr>
        <w:pStyle w:val="Heading2"/>
      </w:pPr>
      <w:r>
        <w:t xml:space="preserve">3 Test cases</w:t>
      </w:r>
    </w:p>
    <w:bookmarkStart w:id="25" w:name="basic-data-flow-verification"/>
    <w:p>
      <w:pPr>
        <w:pStyle w:val="Heading3"/>
      </w:pPr>
      <w:r>
        <w:t xml:space="preserve">3.1 Basic data flow verification</w:t>
      </w:r>
    </w:p>
    <w:p>
      <w:pPr>
        <w:pStyle w:val="FirstParagraph"/>
      </w:pPr>
      <w:r>
        <w:t xml:space="preserve">3.1.1 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Confirm that HighByte collects process tags (e.g., temperature, pressure) and publishes them via MQTT with correct metadata.</w:t>
      </w:r>
      <w:r>
        <w:br/>
      </w:r>
      <w:r>
        <w:t xml:space="preserve">3.1.2 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Select a small set of DeltaV tags; trigger changes in DeltaV; observe in HiveMQ, Ignition and PI.</w:t>
      </w:r>
      <w:r>
        <w:br/>
      </w:r>
      <w:r>
        <w:t xml:space="preserve">3.1.3 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Tags appear in the unified namespace with correct value, timestamp, engineering units and quality flags; HiveMQ broker logs show receipt at QoS 1/2; Ignition displays live trends; PI records time‑series points.</w:t>
      </w:r>
    </w:p>
    <w:bookmarkEnd w:id="25"/>
    <w:bookmarkStart w:id="27" w:name="batchevent-propagation"/>
    <w:p>
      <w:pPr>
        <w:pStyle w:val="Heading3"/>
      </w:pPr>
      <w:r>
        <w:t xml:space="preserve">3.2 Batch/event propagation</w:t>
      </w:r>
    </w:p>
    <w:p>
      <w:pPr>
        <w:pStyle w:val="FirstParagraph"/>
      </w:pPr>
      <w:r>
        <w:t xml:space="preserve">3.2.1 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Verify that batch start/stop, unit procedure and phase events propagate from DeltaV’s event chronicle</w:t>
      </w: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to HighByte and onward.</w:t>
      </w:r>
      <w:r>
        <w:br/>
      </w:r>
      <w:r>
        <w:t xml:space="preserve">3.2.2 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Start a dummy batch in DeltaV; execute a few phases; finish the batch; capture batch ID and event timestamps.</w:t>
      </w:r>
      <w:r>
        <w:br/>
      </w:r>
      <w:r>
        <w:t xml:space="preserve">3.2.3 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Corresponding “batch start,” “phase start/end” and “batch end” events with correct IDs and timestamps are published; Ignition displays them; PI creates an event frame with proper hierarchy; event DB records the events and correlates them to the batch ID.</w:t>
      </w:r>
    </w:p>
    <w:bookmarkEnd w:id="27"/>
    <w:bookmarkStart w:id="28" w:name="alarm-and-safety-event-handling"/>
    <w:p>
      <w:pPr>
        <w:pStyle w:val="Heading3"/>
      </w:pPr>
      <w:r>
        <w:t xml:space="preserve">3.3 Alarm and safety event handling</w:t>
      </w:r>
    </w:p>
    <w:p>
      <w:pPr>
        <w:pStyle w:val="FirstParagraph"/>
      </w:pPr>
      <w:r>
        <w:t xml:space="preserve">3.3.1 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Ensure that process alarms and safety events are delivered to all consumers.</w:t>
      </w:r>
      <w:r>
        <w:br/>
      </w:r>
      <w:r>
        <w:t xml:space="preserve">3.3.2 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Simulate a high‑high temperature alarm in DeltaV and a safety trip; acknowledge and clear the alarm in Ignition.</w:t>
      </w:r>
      <w:r>
        <w:br/>
      </w:r>
      <w:r>
        <w:t xml:space="preserve">3.3.3 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Alarm set, acknowledged and cleared events appear in MQTT topics with sequence numbers; Ignition alarm summary shows proper priority and timestamps; PI event chronicle stores the alarm; acknowledgement is recorded in the audit trail.</w:t>
      </w:r>
    </w:p>
    <w:bookmarkEnd w:id="28"/>
    <w:bookmarkStart w:id="29" w:name="audit-trail-and-command-flow"/>
    <w:p>
      <w:pPr>
        <w:pStyle w:val="Heading3"/>
      </w:pPr>
      <w:r>
        <w:t xml:space="preserve">3.4 Audit trail and command flow</w:t>
      </w:r>
    </w:p>
    <w:p>
      <w:pPr>
        <w:pStyle w:val="FirstParagraph"/>
      </w:pPr>
      <w:r>
        <w:t xml:space="preserve">3.4.1 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Confirm that operator actions (logins, parameter changes, manual overrides) are captured and that control commands can be executed through the unified namespace.</w:t>
      </w:r>
      <w:r>
        <w:br/>
      </w:r>
      <w:r>
        <w:t xml:space="preserve">3.4.2 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Log into Ignition using a test account; change a setpoint via Ignition; verify that the change propagates to DeltaV and that the audit log records user ID, old/new values and time.</w:t>
      </w:r>
      <w:r>
        <w:br/>
      </w:r>
      <w:r>
        <w:t xml:space="preserve">3.4.3 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MQTT control topic publishes the command with proper authentication; HighByte forwards it to DeltaV; DeltaV’s event chronicle records the change; audit logs in Ignition and event DB reflect the action.</w:t>
      </w:r>
    </w:p>
    <w:bookmarkEnd w:id="29"/>
    <w:bookmarkStart w:id="30" w:name="security-and-authentication"/>
    <w:p>
      <w:pPr>
        <w:pStyle w:val="Heading3"/>
      </w:pPr>
      <w:r>
        <w:t xml:space="preserve">3.5 Security and authentication</w:t>
      </w:r>
    </w:p>
    <w:p>
      <w:pPr>
        <w:pStyle w:val="FirstParagraph"/>
      </w:pPr>
      <w:r>
        <w:t xml:space="preserve">3.5.1 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Validate TLS and certificate‑based authentication on MQTT and OPC UA, and confirm role‑based access.</w:t>
      </w:r>
      <w:r>
        <w:br/>
      </w:r>
      <w:r>
        <w:t xml:space="preserve">3.5.2 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Attempt connections with valid and invalid certificates; attempt to publish to restricted topics; attempt to subscribe without permissions.</w:t>
      </w:r>
      <w:r>
        <w:br/>
      </w:r>
      <w:r>
        <w:t xml:space="preserve">3.5.3 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Valid connections succeed; invalid certificates or unauthorized topics are denied; audit logs capture failed access attempts.</w:t>
      </w:r>
    </w:p>
    <w:bookmarkEnd w:id="30"/>
    <w:bookmarkStart w:id="31" w:name="highavailability-and-recovery"/>
    <w:p>
      <w:pPr>
        <w:pStyle w:val="Heading3"/>
      </w:pPr>
      <w:r>
        <w:t xml:space="preserve">3.6 High‑availability and recovery</w:t>
      </w:r>
    </w:p>
    <w:p>
      <w:pPr>
        <w:pStyle w:val="FirstParagraph"/>
      </w:pPr>
      <w:r>
        <w:t xml:space="preserve">3.6.1 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Verify that redundant components behave as expected during failure and recovery.</w:t>
      </w:r>
      <w:r>
        <w:br/>
      </w:r>
      <w:r>
        <w:t xml:space="preserve">3.6.2 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Deliberately shut down one HiveMQ node; observe client failover; disconnect the network segment between HighByte and HiveMQ; observe store‑and‑forward and backlog processing; restart components.</w:t>
      </w:r>
      <w:r>
        <w:br/>
      </w:r>
      <w:r>
        <w:t xml:space="preserve">3.6.3 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Clients reconnect to surviving brokers with no message loss; HighByte queues data and flushes when connectivity is restored; PI and event DB backfill data correctly.</w:t>
      </w:r>
    </w:p>
    <w:bookmarkEnd w:id="31"/>
    <w:bookmarkStart w:id="32" w:name="exploratory-errorseeking-testing"/>
    <w:p>
      <w:pPr>
        <w:pStyle w:val="Heading3"/>
      </w:pPr>
      <w:r>
        <w:t xml:space="preserve">3.7 Exploratory error‑seeking testing</w:t>
      </w:r>
    </w:p>
    <w:p>
      <w:pPr>
        <w:pStyle w:val="FirstParagraph"/>
      </w:pPr>
      <w:r>
        <w:t xml:space="preserve">3.7.1 </w:t>
      </w:r>
      <w:r>
        <w:rPr>
          <w:b/>
          <w:bCs/>
        </w:rPr>
        <w:t xml:space="preserve">Objective</w:t>
      </w:r>
      <w:r>
        <w:t xml:space="preserve"> </w:t>
      </w:r>
      <w:r>
        <w:t xml:space="preserve">– Perform unscripted scenario testing as recommended by FDA CSA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  <w:r>
        <w:br/>
      </w:r>
      <w:r>
        <w:t xml:space="preserve">3.7.2 </w:t>
      </w:r>
      <w:r>
        <w:rPr>
          <w:b/>
          <w:bCs/>
        </w:rPr>
        <w:t xml:space="preserve">Method</w:t>
      </w:r>
      <w:r>
        <w:t xml:space="preserve"> </w:t>
      </w:r>
      <w:r>
        <w:t xml:space="preserve">– Testers explore unusual sequences: rapidly toggle a control mode between manual and auto; simulate network latency or out‑of‑order messages; attempt to delete or modify an event in the event DB; attempt to circumvent an alarm acknowledgement.</w:t>
      </w:r>
      <w:r>
        <w:br/>
      </w:r>
      <w:r>
        <w:t xml:space="preserve">3.7.3 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– System behaves gracefully: invalid operations are rejected; audit trails record attempts; alarms are re‑latched if conditions persist; no data loss or corruption occurs.</w:t>
      </w:r>
    </w:p>
    <w:bookmarkEnd w:id="32"/>
    <w:bookmarkEnd w:id="33"/>
    <w:bookmarkStart w:id="34" w:name="documentation-and-evidence"/>
    <w:p>
      <w:pPr>
        <w:pStyle w:val="Heading2"/>
      </w:pPr>
      <w:r>
        <w:t xml:space="preserve">4 Documentation and evidence</w:t>
      </w:r>
    </w:p>
    <w:p>
      <w:pPr>
        <w:pStyle w:val="FirstParagraph"/>
      </w:pPr>
      <w:r>
        <w:t xml:space="preserve">4.1 Record test objectives, methods, results, and any anomalies.</w:t>
      </w:r>
      <w:r>
        <w:br/>
      </w:r>
      <w:r>
        <w:t xml:space="preserve">4.2 Capture objective evidence such as screenshots, message logs, PI queries and audit trail records.</w:t>
      </w:r>
      <w:r>
        <w:br/>
      </w:r>
      <w:r>
        <w:t xml:space="preserve">4.3 Document any deviations and corrective actions.</w:t>
      </w:r>
      <w:r>
        <w:br/>
      </w:r>
      <w:r>
        <w:t xml:space="preserve">4.4 Summarise findings and determine whether additional scripted tests are needed once risk classifications are defined.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DeltaV Zones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https://www.emerson.com/documents/automation/product-data-sheet-deltav-zones-deltav-en-56272.pdf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Computer Software Assurance for Production and Quality Management System Software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https://www.fda.gov/media/188844/download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White Paper: DeltaV Event Chronicle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https://www.emerson.com/documents/automation/white-paper-deltav-event-chronicle-en-55962.pdf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www.emerson.com/documents/automation/product-data-sheet-deltav-zones-deltav-en-56272.pdf" TargetMode="External" /><Relationship Type="http://schemas.openxmlformats.org/officeDocument/2006/relationships/hyperlink" Id="rId21" Target="https://www.emerson.com/documents/automation/product-data-sheet-deltav-zones-deltav-en-56272.pdf#:~:text=3%20Large%20or%20Geographically%20Dispersed,Zone%20communications" TargetMode="External" /><Relationship Type="http://schemas.openxmlformats.org/officeDocument/2006/relationships/hyperlink" Id="rId39" Target="https://www.emerson.com/documents/automation/white-paper-deltav-event-chronicle-en-55962.pdf" TargetMode="External" /><Relationship Type="http://schemas.openxmlformats.org/officeDocument/2006/relationships/hyperlink" Id="rId26" Target="https://www.emerson.com/documents/automation/white-paper-deltav-event-chronicle-en-55962.pdf#:~:text=An%20event%20is%20any%20noteworthy,DeltaV%20application%20used%20to%20view" TargetMode="External" /><Relationship Type="http://schemas.openxmlformats.org/officeDocument/2006/relationships/hyperlink" Id="rId38" Target="https://www.fda.gov/media/188844/download" TargetMode="External" /><Relationship Type="http://schemas.openxmlformats.org/officeDocument/2006/relationships/hyperlink" Id="rId22" Target="https://www.fda.gov/media/188844/download#:~:text=following%3A%20%C2%B7%20Unscripted%20testing%3A%20Dynamic,failures%20or%20general%20knowledge%20o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www.emerson.com/documents/automation/product-data-sheet-deltav-zones-deltav-en-56272.pdf" TargetMode="External" /><Relationship Type="http://schemas.openxmlformats.org/officeDocument/2006/relationships/hyperlink" Id="rId21" Target="https://www.emerson.com/documents/automation/product-data-sheet-deltav-zones-deltav-en-56272.pdf#:~:text=3%20Large%20or%20Geographically%20Dispersed,Zone%20communications" TargetMode="External" /><Relationship Type="http://schemas.openxmlformats.org/officeDocument/2006/relationships/hyperlink" Id="rId39" Target="https://www.emerson.com/documents/automation/white-paper-deltav-event-chronicle-en-55962.pdf" TargetMode="External" /><Relationship Type="http://schemas.openxmlformats.org/officeDocument/2006/relationships/hyperlink" Id="rId26" Target="https://www.emerson.com/documents/automation/white-paper-deltav-event-chronicle-en-55962.pdf#:~:text=An%20event%20is%20any%20noteworthy,DeltaV%20application%20used%20to%20view" TargetMode="External" /><Relationship Type="http://schemas.openxmlformats.org/officeDocument/2006/relationships/hyperlink" Id="rId38" Target="https://www.fda.gov/media/188844/download" TargetMode="External" /><Relationship Type="http://schemas.openxmlformats.org/officeDocument/2006/relationships/hyperlink" Id="rId22" Target="https://www.fda.gov/media/188844/download#:~:text=following%3A%20%C2%B7%20Unscripted%20testing%3A%20Dynamic,failures%20or%20general%20knowledge%20o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2026-02-04T00:10:08Z</dcterms:created>
  <dcterms:modified xsi:type="dcterms:W3CDTF">2026-02-04T00:10:08Z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