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39" w:name="Xa69c82e6cd074126e2250b216616e853d99b7c0"/>
    <w:p>
      <w:pPr>
        <w:pStyle w:val="Heading1"/>
      </w:pPr>
      <w:r>
        <w:t xml:space="preserve">SDLC Plan – Computer Vision Platform in GxP Environment (21 CFR Part 11)</w:t>
      </w:r>
    </w:p>
    <w:p>
      <w:pPr>
        <w:pStyle w:val="FirstParagraph"/>
      </w:pPr>
      <w:r>
        <w:rPr>
          <w:b/>
          <w:bCs/>
        </w:rPr>
        <w:t xml:space="preserve">Overview:</w:t>
      </w:r>
      <w:r>
        <w:t xml:space="preserve"> </w:t>
      </w:r>
      <w:r>
        <w:t xml:space="preserve">This SDLC plan outlines the lifecycle for implementing a general-purpose computer vision platform (e.g. IBM Maximo Visual Inspection) in a GxP-regulated environment. The platform is treated as a GAMP 5 Category 4 system (configured off-the-shelf software)</w:t>
      </w:r>
      <w:hyperlink r:id="rId21">
        <w:r>
          <w:rPr>
            <w:rStyle w:val="Hyperlink"/>
          </w:rPr>
          <w:t xml:space="preserve">[1]</w:t>
        </w:r>
      </w:hyperlink>
      <w:r>
        <w:t xml:space="preserve">. All phases ensure compliance with FDA 21 CFR Part 11 requirements for validated systems, secure audit trails, access control, and electronic records</w:t>
      </w:r>
      <w:hyperlink r:id="rId22">
        <w:r>
          <w:rPr>
            <w:rStyle w:val="Hyperlink"/>
          </w:rPr>
          <w:t xml:space="preserve">[2]</w:t>
        </w:r>
      </w:hyperlink>
      <w:r>
        <w:t xml:space="preserve">. Roles and deliverables per phase are defined to meet regulatory expectations.</w:t>
      </w:r>
    </w:p>
    <w:bookmarkStart w:id="24" w:name="concept"/>
    <w:p>
      <w:pPr>
        <w:pStyle w:val="Heading2"/>
      </w:pPr>
      <w:r>
        <w:t xml:space="preserve">Concept</w:t>
      </w:r>
    </w:p>
    <w:p>
      <w:pPr>
        <w:pStyle w:val="FirstParagraph"/>
      </w:pPr>
      <w:r>
        <w:rPr>
          <w:i/>
          <w:iCs/>
        </w:rPr>
        <w:t xml:space="preserve">Define the project need and scope.</w:t>
      </w:r>
      <w:r>
        <w:t xml:space="preserve"> </w:t>
      </w:r>
      <w:r>
        <w:t xml:space="preserve">Key stakeholders (business owner, IT lead, QA/Compliance) articulate the vision and high-level requirements. An initial risk assessment and system impact analysis are performed</w:t>
      </w:r>
      <w:hyperlink r:id="rId23">
        <w:r>
          <w:rPr>
            <w:rStyle w:val="Hyperlink"/>
          </w:rPr>
          <w:t xml:space="preserve">[3]</w:t>
        </w:r>
      </w:hyperlink>
      <w:r>
        <w:t xml:space="preserve">. High-level GxP considerations (e.g. if electronic records will be generated) are identified early.</w:t>
      </w:r>
    </w:p>
    <w:p>
      <w:pPr>
        <w:pStyle w:val="Compact"/>
        <w:numPr>
          <w:ilvl w:val="0"/>
          <w:numId w:val="1001"/>
        </w:numPr>
      </w:pPr>
      <w:r>
        <w:rPr>
          <w:b/>
          <w:bCs/>
        </w:rPr>
        <w:t xml:space="preserve">Roles:</w:t>
      </w:r>
      <w:r>
        <w:t xml:space="preserve"> </w:t>
      </w:r>
      <w:r>
        <w:t xml:space="preserve">Business Sponsor (defines business need), Quality Assurance (QA) advisor (ensures GxP considerations), IT Lead (technical feasibility), Project Manager (coordinates concept).</w:t>
      </w:r>
    </w:p>
    <w:p>
      <w:pPr>
        <w:pStyle w:val="Compact"/>
        <w:numPr>
          <w:ilvl w:val="0"/>
          <w:numId w:val="1001"/>
        </w:numPr>
      </w:pPr>
      <w:r>
        <w:rPr>
          <w:b/>
          <w:bCs/>
        </w:rPr>
        <w:t xml:space="preserve">Deliverables:</w:t>
      </w:r>
      <w:r>
        <w:t xml:space="preserve"> </w:t>
      </w:r>
      <w:r>
        <w:t xml:space="preserve">Concept Paper or Project Charter outlining objectives and scope; Preliminary Risk Assessment (identifies GxP impact); Initial System Categorization (confirm Category 4 configurable product</w:t>
      </w:r>
      <w:hyperlink r:id="rId21">
        <w:r>
          <w:rPr>
            <w:rStyle w:val="Hyperlink"/>
          </w:rPr>
          <w:t xml:space="preserve">[1]</w:t>
        </w:r>
      </w:hyperlink>
      <w:r>
        <w:t xml:space="preserve">).</w:t>
      </w:r>
    </w:p>
    <w:bookmarkEnd w:id="24"/>
    <w:bookmarkStart w:id="26" w:name="procure"/>
    <w:p>
      <w:pPr>
        <w:pStyle w:val="Heading2"/>
      </w:pPr>
      <w:r>
        <w:t xml:space="preserve">Procure</w:t>
      </w:r>
    </w:p>
    <w:p>
      <w:pPr>
        <w:pStyle w:val="FirstParagraph"/>
      </w:pPr>
      <w:r>
        <w:rPr>
          <w:i/>
          <w:iCs/>
        </w:rPr>
        <w:t xml:space="preserve">Select and acquire the platform.</w:t>
      </w:r>
      <w:r>
        <w:t xml:space="preserve"> </w:t>
      </w:r>
      <w:r>
        <w:t xml:space="preserve">Based on the User Requirements Specification (URS) and vendor evaluations, a suitable computer vision platform is procured. Supplier assessment and software category confirmation are done (Category 4 configurable product, possibly with some custom modules as Category 5). Regulatory and QA teams ensure the vendor provides necessary validation support and documentation.</w:t>
      </w:r>
    </w:p>
    <w:p>
      <w:pPr>
        <w:pStyle w:val="Compact"/>
        <w:numPr>
          <w:ilvl w:val="0"/>
          <w:numId w:val="1002"/>
        </w:numPr>
      </w:pPr>
      <w:r>
        <w:rPr>
          <w:b/>
          <w:bCs/>
        </w:rPr>
        <w:t xml:space="preserve">Roles:</w:t>
      </w:r>
      <w:r>
        <w:t xml:space="preserve"> </w:t>
      </w:r>
      <w:r>
        <w:t xml:space="preserve">URS Author/Business Analyst (drafts</w:t>
      </w:r>
      <w:r>
        <w:t xml:space="preserve"> </w:t>
      </w:r>
      <w:r>
        <w:rPr>
          <w:b/>
          <w:bCs/>
        </w:rPr>
        <w:t xml:space="preserve">URS</w:t>
      </w:r>
      <w:r>
        <w:t xml:space="preserve"> </w:t>
      </w:r>
      <w:r>
        <w:t xml:space="preserve">defining user needs), Procurement Specialist (manages vendor selection), QA/CSV Lead (conducts vendor qualification and audits), IT Representative (reviews technical fit).</w:t>
      </w:r>
    </w:p>
    <w:p>
      <w:pPr>
        <w:pStyle w:val="Compact"/>
        <w:numPr>
          <w:ilvl w:val="0"/>
          <w:numId w:val="1002"/>
        </w:numPr>
      </w:pPr>
      <w:r>
        <w:rPr>
          <w:b/>
          <w:bCs/>
        </w:rPr>
        <w:t xml:space="preserve">Deliverables:</w:t>
      </w:r>
      <w:r>
        <w:t xml:space="preserve"> </w:t>
      </w:r>
      <w:r>
        <w:rPr>
          <w:b/>
          <w:bCs/>
        </w:rPr>
        <w:t xml:space="preserve">User Requirements Specification (URS)</w:t>
      </w:r>
      <w:r>
        <w:t xml:space="preserve"> </w:t>
      </w:r>
      <w:r>
        <w:t xml:space="preserve">approved by business and QA (defines what “the system shall…” do); Vendor Assessment Report (including GxP compliance checklist); Supplier Audit or Questionnaire (ensure vendor’s</w:t>
      </w:r>
      <w:r>
        <w:t xml:space="preserve"> </w:t>
      </w:r>
      <w:r>
        <w:rPr>
          <w:b/>
          <w:bCs/>
        </w:rPr>
        <w:t xml:space="preserve">21 CFR Part 11</w:t>
      </w:r>
      <w:r>
        <w:t xml:space="preserve"> </w:t>
      </w:r>
      <w:r>
        <w:t xml:space="preserve">capabilities like audit trails &amp; e-signatures are in place</w:t>
      </w:r>
      <w:hyperlink r:id="rId22">
        <w:r>
          <w:rPr>
            <w:rStyle w:val="Hyperlink"/>
          </w:rPr>
          <w:t xml:space="preserve">[2]</w:t>
        </w:r>
      </w:hyperlink>
      <w:hyperlink r:id="rId25">
        <w:r>
          <w:rPr>
            <w:rStyle w:val="Hyperlink"/>
          </w:rPr>
          <w:t xml:space="preserve">[4]</w:t>
        </w:r>
      </w:hyperlink>
      <w:r>
        <w:t xml:space="preserve">); Purchase/Installation Plan.</w:t>
      </w:r>
    </w:p>
    <w:bookmarkEnd w:id="26"/>
    <w:bookmarkStart w:id="27" w:name="plan"/>
    <w:p>
      <w:pPr>
        <w:pStyle w:val="Heading2"/>
      </w:pPr>
      <w:r>
        <w:t xml:space="preserve">Plan</w:t>
      </w:r>
    </w:p>
    <w:p>
      <w:pPr>
        <w:pStyle w:val="FirstParagraph"/>
      </w:pPr>
      <w:r>
        <w:rPr>
          <w:i/>
          <w:iCs/>
        </w:rPr>
        <w:t xml:space="preserve">Plan the validation project.</w:t>
      </w:r>
      <w:r>
        <w:t xml:space="preserve"> </w:t>
      </w:r>
      <w:r>
        <w:t xml:space="preserve">A detailed project plan and validation strategy are developed. This includes defining responsibilities, timelines, and quality milestones for validation of the vision platform.</w:t>
      </w:r>
    </w:p>
    <w:p>
      <w:pPr>
        <w:pStyle w:val="Compact"/>
        <w:numPr>
          <w:ilvl w:val="0"/>
          <w:numId w:val="1003"/>
        </w:numPr>
      </w:pPr>
      <w:r>
        <w:rPr>
          <w:b/>
          <w:bCs/>
        </w:rPr>
        <w:t xml:space="preserve">Roles:</w:t>
      </w:r>
      <w:r>
        <w:t xml:space="preserve"> </w:t>
      </w:r>
      <w:r>
        <w:t xml:space="preserve">Project Manager (owns the Project Plan), Validation Lead (creates Validation Plan), IT Lead (infrastructure planning), QA Manager (approves validation strategy).</w:t>
      </w:r>
    </w:p>
    <w:p>
      <w:pPr>
        <w:pStyle w:val="Compact"/>
        <w:numPr>
          <w:ilvl w:val="0"/>
          <w:numId w:val="1003"/>
        </w:numPr>
      </w:pPr>
      <w:r>
        <w:rPr>
          <w:b/>
          <w:bCs/>
        </w:rPr>
        <w:t xml:space="preserve">Deliverables:</w:t>
      </w:r>
      <w:r>
        <w:t xml:space="preserve"> </w:t>
      </w:r>
      <w:r>
        <w:rPr>
          <w:b/>
          <w:bCs/>
        </w:rPr>
        <w:t xml:space="preserve">Project Plan</w:t>
      </w:r>
      <w:r>
        <w:t xml:space="preserve"> </w:t>
      </w:r>
      <w:r>
        <w:t xml:space="preserve">(schedule, resources, milestones);</w:t>
      </w:r>
      <w:r>
        <w:t xml:space="preserve"> </w:t>
      </w:r>
      <w:r>
        <w:rPr>
          <w:b/>
          <w:bCs/>
        </w:rPr>
        <w:t xml:space="preserve">Validation Plan</w:t>
      </w:r>
      <w:r>
        <w:t xml:space="preserve"> </w:t>
      </w:r>
      <w:r>
        <w:t xml:space="preserve">(or Validation Master Plan) detailing the lifecycle approach and deliverables for this Category 4 system; Risk Management Plan (how risks will be mitigated/tested); Roles &amp; Training Matrix (who needs training/when).</w:t>
      </w:r>
    </w:p>
    <w:bookmarkEnd w:id="27"/>
    <w:bookmarkStart w:id="29" w:name="build"/>
    <w:p>
      <w:pPr>
        <w:pStyle w:val="Heading2"/>
      </w:pPr>
      <w:r>
        <w:t xml:space="preserve">Build</w:t>
      </w:r>
    </w:p>
    <w:p>
      <w:pPr>
        <w:pStyle w:val="FirstParagraph"/>
      </w:pPr>
      <w:r>
        <w:rPr>
          <w:i/>
          <w:iCs/>
        </w:rPr>
        <w:t xml:space="preserve">Install and build the system environment.</w:t>
      </w:r>
      <w:r>
        <w:t xml:space="preserve"> </w:t>
      </w:r>
      <w:r>
        <w:t xml:space="preserve">The platform software is installed and technical infrastructure set up (servers, networks, storage for image data). Any necessary hardware (cameras or IoT devices for image capture) is deployed. If using a hybrid/cloud approach, both on-premise edge nodes and cloud instances are prepared.</w:t>
      </w:r>
    </w:p>
    <w:p>
      <w:pPr>
        <w:pStyle w:val="Compact"/>
        <w:numPr>
          <w:ilvl w:val="0"/>
          <w:numId w:val="1004"/>
        </w:numPr>
      </w:pPr>
      <w:r>
        <w:rPr>
          <w:b/>
          <w:bCs/>
        </w:rPr>
        <w:t xml:space="preserve">Roles:</w:t>
      </w:r>
      <w:r>
        <w:t xml:space="preserve"> </w:t>
      </w:r>
      <w:r>
        <w:t xml:space="preserve">IT Infrastructure Engineer (sets up servers and network), Vendor/System Integrator (assists installation), Database Administrator (configures data storage), QA (oversight of installation qualification).</w:t>
      </w:r>
    </w:p>
    <w:p>
      <w:pPr>
        <w:pStyle w:val="Compact"/>
        <w:numPr>
          <w:ilvl w:val="0"/>
          <w:numId w:val="1004"/>
        </w:numPr>
      </w:pPr>
      <w:r>
        <w:rPr>
          <w:b/>
          <w:bCs/>
        </w:rPr>
        <w:t xml:space="preserve">Deliverables:</w:t>
      </w:r>
      <w:r>
        <w:t xml:space="preserve"> </w:t>
      </w:r>
      <w:r>
        <w:rPr>
          <w:b/>
          <w:bCs/>
        </w:rPr>
        <w:t xml:space="preserve">Installation Qualification (IQ) Protocol &amp; Report</w:t>
      </w:r>
      <w:r>
        <w:t xml:space="preserve"> </w:t>
      </w:r>
      <w:r>
        <w:t xml:space="preserve">– verifies installation per vendor specs (server setup, accounts, connections)</w:t>
      </w:r>
      <w:hyperlink r:id="rId28">
        <w:r>
          <w:rPr>
            <w:rStyle w:val="Hyperlink"/>
          </w:rPr>
          <w:t xml:space="preserve">[5]</w:t>
        </w:r>
      </w:hyperlink>
      <w:r>
        <w:t xml:space="preserve">; System Architecture Document (environment diagram, network setup); Configuration Management Plan (how settings and versions will be controlled).</w:t>
      </w:r>
    </w:p>
    <w:bookmarkEnd w:id="29"/>
    <w:bookmarkStart w:id="31" w:name="configure-gamp-category-4"/>
    <w:p>
      <w:pPr>
        <w:pStyle w:val="Heading2"/>
      </w:pPr>
      <w:r>
        <w:t xml:space="preserve">Configure (GAMP Category 4)</w:t>
      </w:r>
    </w:p>
    <w:p>
      <w:pPr>
        <w:pStyle w:val="FirstParagraph"/>
      </w:pPr>
      <w:r>
        <w:rPr>
          <w:i/>
          <w:iCs/>
        </w:rPr>
        <w:t xml:space="preserve">Configure the off-the-shelf platform to user needs.</w:t>
      </w:r>
      <w:r>
        <w:t xml:space="preserve"> </w:t>
      </w:r>
      <w:r>
        <w:t xml:space="preserve">In this phase, no custom coding is done; instead the system is configured (through settings, UI, and built-in tools) to meet the URS. This includes setting up camera feeds or image import pipelines, defining labeling schemas, and adjusting parameters for model training and deployment. As a GAMP Category 4 system, a</w:t>
      </w:r>
      <w:r>
        <w:t xml:space="preserve"> </w:t>
      </w:r>
      <w:r>
        <w:rPr>
          <w:b/>
          <w:bCs/>
        </w:rPr>
        <w:t xml:space="preserve">Functional Specification (FS)</w:t>
      </w:r>
      <w:r>
        <w:t xml:space="preserve"> </w:t>
      </w:r>
      <w:r>
        <w:t xml:space="preserve">or configuration specification is created to map URS requirements to the system’s configurable settings</w:t>
      </w:r>
      <w:hyperlink r:id="rId30">
        <w:r>
          <w:rPr>
            <w:rStyle w:val="Hyperlink"/>
          </w:rPr>
          <w:t xml:space="preserve">[6]</w:t>
        </w:r>
      </w:hyperlink>
      <w:r>
        <w:t xml:space="preserve">.</w:t>
      </w:r>
    </w:p>
    <w:p>
      <w:pPr>
        <w:pStyle w:val="Compact"/>
        <w:numPr>
          <w:ilvl w:val="0"/>
          <w:numId w:val="1005"/>
        </w:numPr>
      </w:pPr>
      <w:r>
        <w:rPr>
          <w:b/>
          <w:bCs/>
        </w:rPr>
        <w:t xml:space="preserve">Roles:</w:t>
      </w:r>
      <w:r>
        <w:t xml:space="preserve"> </w:t>
      </w:r>
      <w:r>
        <w:t xml:space="preserve">System Analyst/Configurator (performs software configuration and dataset setup), Business User (provides input on configuration choices, e.g. workflows for image review), QA/CSV Specialist (reviews that configurations are documented and traceable to requirements).</w:t>
      </w:r>
    </w:p>
    <w:p>
      <w:pPr>
        <w:pStyle w:val="Compact"/>
        <w:numPr>
          <w:ilvl w:val="0"/>
          <w:numId w:val="1005"/>
        </w:numPr>
      </w:pPr>
      <w:r>
        <w:rPr>
          <w:b/>
          <w:bCs/>
        </w:rPr>
        <w:t xml:space="preserve">Deliverables:</w:t>
      </w:r>
      <w:r>
        <w:t xml:space="preserve"> </w:t>
      </w:r>
      <w:r>
        <w:rPr>
          <w:b/>
          <w:bCs/>
        </w:rPr>
        <w:t xml:space="preserve">Functional/Configuration Specification</w:t>
      </w:r>
      <w:r>
        <w:t xml:space="preserve"> </w:t>
      </w:r>
      <w:r>
        <w:t xml:space="preserve">(details how each URS requirement is implemented via configuration settings)</w:t>
      </w:r>
      <w:hyperlink r:id="rId30">
        <w:r>
          <w:rPr>
            <w:rStyle w:val="Hyperlink"/>
          </w:rPr>
          <w:t xml:space="preserve">[6]</w:t>
        </w:r>
      </w:hyperlink>
      <w:r>
        <w:t xml:space="preserve">; Configuration Worksheet or Parameter List (specific fields, user roles, alert rules, etc. configured in the system);</w:t>
      </w:r>
      <w:r>
        <w:t xml:space="preserve"> </w:t>
      </w:r>
      <w:r>
        <w:rPr>
          <w:b/>
          <w:bCs/>
        </w:rPr>
        <w:t xml:space="preserve">Configuration Test Protocol</w:t>
      </w:r>
      <w:r>
        <w:t xml:space="preserve"> </w:t>
      </w:r>
      <w:r>
        <w:t xml:space="preserve">(steps to verify critical configuration elements function as intended, can be part of OQ).</w:t>
      </w:r>
    </w:p>
    <w:bookmarkEnd w:id="31"/>
    <w:bookmarkStart w:id="33" w:name="design-gamp-category-5"/>
    <w:p>
      <w:pPr>
        <w:pStyle w:val="Heading2"/>
      </w:pPr>
      <w:r>
        <w:t xml:space="preserve">Design (GAMP Category 5)</w:t>
      </w:r>
    </w:p>
    <w:p>
      <w:pPr>
        <w:pStyle w:val="FirstParagraph"/>
      </w:pPr>
      <w:r>
        <w:rPr>
          <w:i/>
          <w:iCs/>
        </w:rPr>
        <w:t xml:space="preserve">Develop any custom components or integrations.</w:t>
      </w:r>
      <w:r>
        <w:t xml:space="preserve"> </w:t>
      </w:r>
      <w:r>
        <w:t xml:space="preserve">If any functionality cannot be achieved via configuration alone, this phase covers design and development of custom code (treated as GAMP Category 5 – bespoke software)</w:t>
      </w:r>
      <w:hyperlink r:id="rId32">
        <w:r>
          <w:rPr>
            <w:rStyle w:val="Hyperlink"/>
          </w:rPr>
          <w:t xml:space="preserve">[7]</w:t>
        </w:r>
      </w:hyperlink>
      <w:r>
        <w:t xml:space="preserve">. For example, integrating the platform via MQTT or custom algorithms may require scripting or coding. Detailed design documents are produced before coding.</w:t>
      </w:r>
    </w:p>
    <w:p>
      <w:pPr>
        <w:pStyle w:val="Compact"/>
        <w:numPr>
          <w:ilvl w:val="0"/>
          <w:numId w:val="1006"/>
        </w:numPr>
      </w:pPr>
      <w:r>
        <w:rPr>
          <w:b/>
          <w:bCs/>
        </w:rPr>
        <w:t xml:space="preserve">Roles:</w:t>
      </w:r>
      <w:r>
        <w:t xml:space="preserve"> </w:t>
      </w:r>
      <w:r>
        <w:t xml:space="preserve">Software Developer or Integration Engineer (develops custom extensions or integration code), System Architect (reviews technical design for custom features), QA/Validation (ensures additional code is assessed for risk).</w:t>
      </w:r>
    </w:p>
    <w:p>
      <w:pPr>
        <w:pStyle w:val="Compact"/>
        <w:numPr>
          <w:ilvl w:val="0"/>
          <w:numId w:val="1006"/>
        </w:numPr>
      </w:pPr>
      <w:r>
        <w:rPr>
          <w:b/>
          <w:bCs/>
        </w:rPr>
        <w:t xml:space="preserve">Deliverables:</w:t>
      </w:r>
      <w:r>
        <w:t xml:space="preserve"> </w:t>
      </w:r>
      <w:r>
        <w:rPr>
          <w:b/>
          <w:bCs/>
        </w:rPr>
        <w:t xml:space="preserve">Functional Design Specification (FDS)</w:t>
      </w:r>
      <w:r>
        <w:t xml:space="preserve"> </w:t>
      </w:r>
      <w:r>
        <w:t xml:space="preserve">for custom features (describes new functions or interfaces in detail)</w:t>
      </w:r>
      <w:hyperlink r:id="rId30">
        <w:r>
          <w:rPr>
            <w:rStyle w:val="Hyperlink"/>
          </w:rPr>
          <w:t xml:space="preserve">[6]</w:t>
        </w:r>
      </w:hyperlink>
      <w:r>
        <w:t xml:space="preserve">;</w:t>
      </w:r>
      <w:r>
        <w:t xml:space="preserve"> </w:t>
      </w:r>
      <w:r>
        <w:rPr>
          <w:b/>
          <w:bCs/>
        </w:rPr>
        <w:t xml:space="preserve">Technical Design</w:t>
      </w:r>
      <w:r>
        <w:t xml:space="preserve"> </w:t>
      </w:r>
      <w:r>
        <w:t xml:space="preserve">and/or</w:t>
      </w:r>
      <w:r>
        <w:t xml:space="preserve"> </w:t>
      </w:r>
      <w:r>
        <w:rPr>
          <w:b/>
          <w:bCs/>
        </w:rPr>
        <w:t xml:space="preserve">Interface Specifications</w:t>
      </w:r>
      <w:r>
        <w:t xml:space="preserve"> </w:t>
      </w:r>
      <w:r>
        <w:t xml:space="preserve">(e.g. MQTT integration design, describing topics and data payload formats); Code Modules and Source Code (with version control records); Code Review and Unit Test records.</w:t>
      </w:r>
    </w:p>
    <w:bookmarkEnd w:id="33"/>
    <w:bookmarkStart w:id="35" w:name="test"/>
    <w:p>
      <w:pPr>
        <w:pStyle w:val="Heading2"/>
      </w:pPr>
      <w:r>
        <w:t xml:space="preserve">Test</w:t>
      </w:r>
    </w:p>
    <w:p>
      <w:pPr>
        <w:pStyle w:val="FirstParagraph"/>
      </w:pPr>
      <w:r>
        <w:rPr>
          <w:i/>
          <w:iCs/>
        </w:rPr>
        <w:t xml:space="preserve">Validate the system through testing.</w:t>
      </w:r>
      <w:r>
        <w:t xml:space="preserve"> </w:t>
      </w:r>
      <w:r>
        <w:t xml:space="preserve">A rigorous testing phase is executed to verify that the configured platform (and any custom components) meets all user requirements in the URS. Testing follows the V-model approach with traceability to requirements.</w:t>
      </w:r>
      <w:r>
        <w:t xml:space="preserve"> </w:t>
      </w:r>
      <w:r>
        <w:rPr>
          <w:b/>
          <w:bCs/>
        </w:rPr>
        <w:t xml:space="preserve">Installation Qualification (IQ)</w:t>
      </w:r>
      <w:r>
        <w:t xml:space="preserve"> </w:t>
      </w:r>
      <w:r>
        <w:t xml:space="preserve">is confirmed,</w:t>
      </w:r>
      <w:r>
        <w:t xml:space="preserve"> </w:t>
      </w:r>
      <w:r>
        <w:rPr>
          <w:b/>
          <w:bCs/>
        </w:rPr>
        <w:t xml:space="preserve">Operational Qualification (OQ)</w:t>
      </w:r>
      <w:r>
        <w:t xml:space="preserve"> </w:t>
      </w:r>
      <w:r>
        <w:t xml:space="preserve">tests that functionalities work per specifications, and</w:t>
      </w:r>
      <w:r>
        <w:t xml:space="preserve"> </w:t>
      </w:r>
      <w:r>
        <w:rPr>
          <w:b/>
          <w:bCs/>
        </w:rPr>
        <w:t xml:space="preserve">Performance Qualification (PQ)</w:t>
      </w:r>
      <w:r>
        <w:t xml:space="preserve"> </w:t>
      </w:r>
      <w:r>
        <w:t xml:space="preserve">ensures the system performs as intended in a simulated real-use scenario</w:t>
      </w:r>
      <w:hyperlink r:id="rId28">
        <w:r>
          <w:rPr>
            <w:rStyle w:val="Hyperlink"/>
          </w:rPr>
          <w:t xml:space="preserve">[5]</w:t>
        </w:r>
      </w:hyperlink>
      <w:r>
        <w:t xml:space="preserve">. All Part 11 compliance features (audit trails, security, data integrity) are tested for effectiveness.</w:t>
      </w:r>
    </w:p>
    <w:p>
      <w:pPr>
        <w:pStyle w:val="Compact"/>
        <w:numPr>
          <w:ilvl w:val="0"/>
          <w:numId w:val="1007"/>
        </w:numPr>
      </w:pPr>
      <w:r>
        <w:rPr>
          <w:b/>
          <w:bCs/>
        </w:rPr>
        <w:t xml:space="preserve">Roles:</w:t>
      </w:r>
      <w:r>
        <w:t xml:space="preserve"> </w:t>
      </w:r>
      <w:r>
        <w:t xml:space="preserve">Test Lead (coordinates overall testing effort), QA Validation Analyst (executes or witnesses tests for compliance features), Business End-User/Testers (perform User Acceptance Tests or PQ in a production-like setting), IT Support (handles test environment, fixes issues).</w:t>
      </w:r>
    </w:p>
    <w:p>
      <w:pPr>
        <w:pStyle w:val="Compact"/>
        <w:numPr>
          <w:ilvl w:val="0"/>
          <w:numId w:val="1007"/>
        </w:numPr>
      </w:pPr>
      <w:r>
        <w:rPr>
          <w:b/>
          <w:bCs/>
        </w:rPr>
        <w:t xml:space="preserve">Deliverables:</w:t>
      </w:r>
      <w:r>
        <w:t xml:space="preserve"> </w:t>
      </w:r>
      <w:r>
        <w:rPr>
          <w:b/>
          <w:bCs/>
        </w:rPr>
        <w:t xml:space="preserve">IQ/OQ/PQ Test Protocols</w:t>
      </w:r>
      <w:r>
        <w:t xml:space="preserve"> </w:t>
      </w:r>
      <w:r>
        <w:t xml:space="preserve">and</w:t>
      </w:r>
      <w:r>
        <w:t xml:space="preserve"> </w:t>
      </w:r>
      <w:r>
        <w:rPr>
          <w:b/>
          <w:bCs/>
        </w:rPr>
        <w:t xml:space="preserve">Results</w:t>
      </w:r>
      <w:r>
        <w:t xml:space="preserve"> </w:t>
      </w:r>
      <w:r>
        <w:t xml:space="preserve">(executed test scripts with evidence);</w:t>
      </w:r>
      <w:r>
        <w:t xml:space="preserve"> </w:t>
      </w:r>
      <w:r>
        <w:rPr>
          <w:b/>
          <w:bCs/>
        </w:rPr>
        <w:t xml:space="preserve">Requirements Traceability Matrix</w:t>
      </w:r>
      <w:r>
        <w:t xml:space="preserve"> </w:t>
      </w:r>
      <w:r>
        <w:t xml:space="preserve">(mapping each test case to URS to ensure complete coverage);</w:t>
      </w:r>
      <w:r>
        <w:t xml:space="preserve"> </w:t>
      </w:r>
      <w:r>
        <w:rPr>
          <w:b/>
          <w:bCs/>
        </w:rPr>
        <w:t xml:space="preserve">Test Summary Report</w:t>
      </w:r>
      <w:r>
        <w:t xml:space="preserve"> </w:t>
      </w:r>
      <w:r>
        <w:t xml:space="preserve">(summarizes testing outcomes, deviations, and resolutions). For example, tests verify that audit trail records are generated when models are trained or configurations changed (per Part 11 requirements for secure, time-stamped audit trails</w:t>
      </w:r>
      <w:hyperlink r:id="rId34">
        <w:r>
          <w:rPr>
            <w:rStyle w:val="Hyperlink"/>
          </w:rPr>
          <w:t xml:space="preserve">[8]</w:t>
        </w:r>
      </w:hyperlink>
      <w:r>
        <w:t xml:space="preserve">).</w:t>
      </w:r>
    </w:p>
    <w:bookmarkEnd w:id="35"/>
    <w:bookmarkStart w:id="36" w:name="implement"/>
    <w:p>
      <w:pPr>
        <w:pStyle w:val="Heading2"/>
      </w:pPr>
      <w:r>
        <w:t xml:space="preserve">Implement</w:t>
      </w:r>
    </w:p>
    <w:p>
      <w:pPr>
        <w:pStyle w:val="FirstParagraph"/>
      </w:pPr>
      <w:r>
        <w:rPr>
          <w:i/>
          <w:iCs/>
        </w:rPr>
        <w:t xml:space="preserve">Go-live preparation and deployment.</w:t>
      </w:r>
      <w:r>
        <w:t xml:space="preserve"> </w:t>
      </w:r>
      <w:r>
        <w:t xml:space="preserve">After successful testing and issue resolution, the system is implemented in the production environment. This phase includes final user training, Standard Operating Procedures (SOPs) in place for system use and maintenance, and data migration or initialization (e.g. loading initial reference image datasets). The platform is deployed either on-premises or in the cloud as planned (or a hybrid deployment across edge and cloud). Role-based access is verified in production, and integration pipelines (e.g. MQTT messaging to other systems) are enabled.</w:t>
      </w:r>
    </w:p>
    <w:p>
      <w:pPr>
        <w:pStyle w:val="Compact"/>
        <w:numPr>
          <w:ilvl w:val="0"/>
          <w:numId w:val="1008"/>
        </w:numPr>
      </w:pPr>
      <w:r>
        <w:rPr>
          <w:b/>
          <w:bCs/>
        </w:rPr>
        <w:t xml:space="preserve">Roles:</w:t>
      </w:r>
      <w:r>
        <w:t xml:space="preserve"> </w:t>
      </w:r>
      <w:r>
        <w:t xml:space="preserve">Deployment Engineer (deploys the application to production environment), System Owner (ensures operational readiness, accounts and permissions), End-User Trainers (conduct training sessions), QA (approves go-live after verifying compliance steps).</w:t>
      </w:r>
    </w:p>
    <w:p>
      <w:pPr>
        <w:pStyle w:val="Compact"/>
        <w:numPr>
          <w:ilvl w:val="0"/>
          <w:numId w:val="1008"/>
        </w:numPr>
      </w:pPr>
      <w:r>
        <w:rPr>
          <w:b/>
          <w:bCs/>
        </w:rPr>
        <w:t xml:space="preserve">Deliverables:</w:t>
      </w:r>
      <w:r>
        <w:t xml:space="preserve"> </w:t>
      </w:r>
      <w:r>
        <w:rPr>
          <w:b/>
          <w:bCs/>
        </w:rPr>
        <w:t xml:space="preserve">SOPs</w:t>
      </w:r>
      <w:r>
        <w:t xml:space="preserve"> </w:t>
      </w:r>
      <w:r>
        <w:t xml:space="preserve">for system operation and administration (including how to handle model updates, image archival, and audit trail reviews); Training Materials and Training Records (users trained on new system); Go-Live Checklist (all prerequisites met: e.g. IQ/OQ/PQ signed off, accounts created, backups configured); Data Migration Report (if legacy data or images were brought into the new system).</w:t>
      </w:r>
    </w:p>
    <w:bookmarkEnd w:id="36"/>
    <w:bookmarkStart w:id="38" w:name="release"/>
    <w:p>
      <w:pPr>
        <w:pStyle w:val="Heading2"/>
      </w:pPr>
      <w:r>
        <w:t xml:space="preserve">Release</w:t>
      </w:r>
    </w:p>
    <w:p>
      <w:pPr>
        <w:pStyle w:val="FirstParagraph"/>
      </w:pPr>
      <w:r>
        <w:rPr>
          <w:i/>
          <w:iCs/>
        </w:rPr>
        <w:t xml:space="preserve">Formal release and validation closure.</w:t>
      </w:r>
      <w:r>
        <w:t xml:space="preserve"> </w:t>
      </w:r>
      <w:r>
        <w:t xml:space="preserve">The system is officially released for GxP use after all validation activities are approved. A</w:t>
      </w:r>
      <w:r>
        <w:t xml:space="preserve"> </w:t>
      </w:r>
      <w:r>
        <w:rPr>
          <w:b/>
          <w:bCs/>
        </w:rPr>
        <w:t xml:space="preserve">Validation Summary Report</w:t>
      </w:r>
      <w:r>
        <w:t xml:space="preserve"> </w:t>
      </w:r>
      <w:r>
        <w:t xml:space="preserve">is issued, summarizing the SDLC deliverables and evidence that the system is fit for intended use and compliant. Management and Quality unit sign off on the release, and the system enters the operational phase under change control. This phase transitions the project to maintenance.</w:t>
      </w:r>
    </w:p>
    <w:p>
      <w:pPr>
        <w:pStyle w:val="Compact"/>
        <w:numPr>
          <w:ilvl w:val="0"/>
          <w:numId w:val="1009"/>
        </w:numPr>
      </w:pPr>
      <w:r>
        <w:rPr>
          <w:b/>
          <w:bCs/>
        </w:rPr>
        <w:t xml:space="preserve">Roles:</w:t>
      </w:r>
      <w:r>
        <w:t xml:space="preserve"> </w:t>
      </w:r>
      <w:r>
        <w:t xml:space="preserve">QA/Validation Lead (authors the validation summary and recommends release), Quality Assurance Manager (approves release, ensuring all Part 11 controls are verified), System Owner (accepts the system into operation), Regulatory Compliance Officer (if required, provides final concurrence that system meets GxP and 21 CFR Part 11 standards).</w:t>
      </w:r>
    </w:p>
    <w:p>
      <w:pPr>
        <w:pStyle w:val="Compact"/>
        <w:numPr>
          <w:ilvl w:val="0"/>
          <w:numId w:val="1009"/>
        </w:numPr>
      </w:pPr>
      <w:r>
        <w:rPr>
          <w:b/>
          <w:bCs/>
        </w:rPr>
        <w:t xml:space="preserve">Deliverables:</w:t>
      </w:r>
      <w:r>
        <w:t xml:space="preserve"> </w:t>
      </w:r>
      <w:r>
        <w:rPr>
          <w:b/>
          <w:bCs/>
        </w:rPr>
        <w:t xml:space="preserve">Validation Summary Report</w:t>
      </w:r>
      <w:r>
        <w:t xml:space="preserve"> </w:t>
      </w:r>
      <w:r>
        <w:t xml:space="preserve">(comprehensive report confirming all requirements met, testing completed, and any deviations resolved);</w:t>
      </w:r>
      <w:r>
        <w:t xml:space="preserve"> </w:t>
      </w:r>
      <w:r>
        <w:rPr>
          <w:b/>
          <w:bCs/>
        </w:rPr>
        <w:t xml:space="preserve">Release Authorization</w:t>
      </w:r>
      <w:r>
        <w:t xml:space="preserve"> </w:t>
      </w:r>
      <w:r>
        <w:t xml:space="preserve">/ Production Go-Live Approval signed by QA and system owner</w:t>
      </w:r>
      <w:hyperlink r:id="rId37">
        <w:r>
          <w:rPr>
            <w:rStyle w:val="Hyperlink"/>
          </w:rPr>
          <w:t xml:space="preserve">[9]</w:t>
        </w:r>
      </w:hyperlink>
      <w:r>
        <w:t xml:space="preserve">; Change Control records initiating the system’s controlled operational state (to manage future updates under change management). The system is now considered</w:t>
      </w:r>
      <w:r>
        <w:t xml:space="preserve"> </w:t>
      </w:r>
      <w:r>
        <w:rPr>
          <w:b/>
          <w:bCs/>
        </w:rPr>
        <w:t xml:space="preserve">validated</w:t>
      </w:r>
      <w:r>
        <w:t xml:space="preserve"> </w:t>
      </w:r>
      <w:r>
        <w:t xml:space="preserve">and in a state of control, ready for routine use with audit trails and security mechanisms actively enforced.</w:t>
      </w:r>
    </w:p>
    <w:p>
      <w:r>
        <w:pict>
          <v:rect style="width:0;height:1.5pt" o:hralign="center" o:hrstd="t" o:hr="t"/>
        </w:pict>
      </w:r>
    </w:p>
    <w:bookmarkEnd w:id="38"/>
    <w:bookmarkEnd w:id="39"/>
    <w:bookmarkStart w:id="47" w:name="X99fe858373346946b9ac9a0290cdcce30ccf0c3"/>
    <w:p>
      <w:pPr>
        <w:pStyle w:val="Heading1"/>
      </w:pPr>
      <w:r>
        <w:t xml:space="preserve">User Requirements Specification (URS) – Computer Vision Platform</w:t>
      </w:r>
    </w:p>
    <w:p>
      <w:pPr>
        <w:pStyle w:val="FirstParagraph"/>
      </w:pPr>
      <w:r>
        <w:rPr>
          <w:b/>
          <w:bCs/>
        </w:rPr>
        <w:t xml:space="preserve">Scope:</w:t>
      </w:r>
      <w:r>
        <w:t xml:space="preserve"> </w:t>
      </w:r>
      <w:r>
        <w:t xml:space="preserve">This URS defines the key requirements for a general-purpose computer vision platform in a pharmaceutical</w:t>
      </w:r>
      <w:r>
        <w:t xml:space="preserve"> </w:t>
      </w:r>
      <w:r>
        <w:rPr>
          <w:b/>
          <w:bCs/>
        </w:rPr>
        <w:t xml:space="preserve">GxP</w:t>
      </w:r>
      <w:r>
        <w:t xml:space="preserve"> </w:t>
      </w:r>
      <w:r>
        <w:t xml:space="preserve">environment. The platform’s capabilities must support image-based AI model development and deployment while ensuring compliance with</w:t>
      </w:r>
      <w:r>
        <w:t xml:space="preserve"> </w:t>
      </w:r>
      <w:r>
        <w:rPr>
          <w:b/>
          <w:bCs/>
        </w:rPr>
        <w:t xml:space="preserve">21 CFR Part 11</w:t>
      </w:r>
      <w:r>
        <w:t xml:space="preserve"> </w:t>
      </w:r>
      <w:r>
        <w:t xml:space="preserve">(electronic records). Each requirement below is paired with a user story to illustrate the business context.</w:t>
      </w:r>
      <w:r>
        <w:t xml:space="preserve"> </w:t>
      </w:r>
      <w:r>
        <w:rPr>
          <w:i/>
          <w:iCs/>
        </w:rPr>
        <w:t xml:space="preserve">(Note: Use cases or specific inspection scenarios are out of scope; the focus is on platform features.)</w:t>
      </w:r>
    </w:p>
    <w:p>
      <w:pPr>
        <w:numPr>
          <w:ilvl w:val="0"/>
          <w:numId w:val="1010"/>
        </w:numPr>
      </w:pPr>
      <w:r>
        <w:rPr>
          <w:b/>
          <w:bCs/>
        </w:rPr>
        <w:t xml:space="preserve">Requirement –</w:t>
      </w:r>
      <w:r>
        <w:t xml:space="preserve"> </w:t>
      </w:r>
      <w:r>
        <w:rPr>
          <w:i/>
          <w:iCs/>
        </w:rPr>
        <w:t xml:space="preserve">The system shall provide robust image acquisition and model training capabilities.</w:t>
      </w:r>
      <w:r>
        <w:t xml:space="preserve"> </w:t>
      </w:r>
      <w:r>
        <w:t xml:space="preserve">It shall allow users to ingest or capture images (from cameras, drones, or files) and label them, then train deep learning models (for image classification, object detection, and anomaly detection) through an intuitive interface</w:t>
      </w:r>
      <w:hyperlink r:id="rId40">
        <w:r>
          <w:rPr>
            <w:rStyle w:val="Hyperlink"/>
          </w:rPr>
          <w:t xml:space="preserve">[10]</w:t>
        </w:r>
      </w:hyperlink>
      <w:hyperlink r:id="rId41">
        <w:r>
          <w:rPr>
            <w:rStyle w:val="Hyperlink"/>
          </w:rPr>
          <w:t xml:space="preserve">[11]</w:t>
        </w:r>
      </w:hyperlink>
      <w:r>
        <w:t xml:space="preserve">.</w:t>
      </w:r>
      <w:r>
        <w:br/>
      </w:r>
      <w:r>
        <w:rPr>
          <w:b/>
          <w:bCs/>
        </w:rPr>
        <w:t xml:space="preserve">User Story –</w:t>
      </w:r>
      <w:r>
        <w:t xml:space="preserve"> </w:t>
      </w:r>
      <w:r>
        <w:rPr>
          <w:i/>
          <w:iCs/>
        </w:rPr>
        <w:t xml:space="preserve">As a Process Engineer,</w:t>
      </w:r>
      <w:r>
        <w:t xml:space="preserve"> </w:t>
      </w:r>
      <w:r>
        <w:t xml:space="preserve">I want to easily feed images from our production line into the system and train AI models without coding expertise, so that we can quickly develop vision models to detect product defects.</w:t>
      </w:r>
    </w:p>
    <w:p>
      <w:pPr>
        <w:numPr>
          <w:ilvl w:val="0"/>
          <w:numId w:val="1010"/>
        </w:numPr>
      </w:pPr>
      <w:r>
        <w:rPr>
          <w:b/>
          <w:bCs/>
        </w:rPr>
        <w:t xml:space="preserve">Requirement –</w:t>
      </w:r>
      <w:r>
        <w:t xml:space="preserve"> </w:t>
      </w:r>
      <w:r>
        <w:rPr>
          <w:i/>
          <w:iCs/>
        </w:rPr>
        <w:t xml:space="preserve">The system shall support anomaly detection model training and identification of anomalies in new images.</w:t>
      </w:r>
      <w:r>
        <w:t xml:space="preserve"> </w:t>
      </w:r>
      <w:r>
        <w:t xml:space="preserve">It should enable training an</w:t>
      </w:r>
      <w:r>
        <w:t xml:space="preserve"> </w:t>
      </w:r>
      <w:r>
        <w:rPr>
          <w:b/>
          <w:bCs/>
        </w:rPr>
        <w:t xml:space="preserve">anomaly detection</w:t>
      </w:r>
      <w:r>
        <w:t xml:space="preserve"> </w:t>
      </w:r>
      <w:r>
        <w:t xml:space="preserve">model using a set of “good” images (no defects) and then automatically highlight anomalous regions in inspection images</w:t>
      </w:r>
      <w:hyperlink r:id="rId42">
        <w:r>
          <w:rPr>
            <w:rStyle w:val="Hyperlink"/>
          </w:rPr>
          <w:t xml:space="preserve">[12]</w:t>
        </w:r>
      </w:hyperlink>
      <w:r>
        <w:t xml:space="preserve">.</w:t>
      </w:r>
      <w:r>
        <w:br/>
      </w:r>
      <w:r>
        <w:rPr>
          <w:b/>
          <w:bCs/>
        </w:rPr>
        <w:t xml:space="preserve">User Story –</w:t>
      </w:r>
      <w:r>
        <w:t xml:space="preserve"> </w:t>
      </w:r>
      <w:r>
        <w:rPr>
          <w:i/>
          <w:iCs/>
        </w:rPr>
        <w:t xml:space="preserve">As a Quality Manager,</w:t>
      </w:r>
      <w:r>
        <w:t xml:space="preserve"> </w:t>
      </w:r>
      <w:r>
        <w:t xml:space="preserve">I want the platform to flag any unusual deviations or defects on parts by learning what “normal” looks like, so that we can catch subtle issues that were not explicitly pre-programmed.</w:t>
      </w:r>
    </w:p>
    <w:p>
      <w:pPr>
        <w:numPr>
          <w:ilvl w:val="0"/>
          <w:numId w:val="1010"/>
        </w:numPr>
      </w:pPr>
      <w:r>
        <w:rPr>
          <w:b/>
          <w:bCs/>
        </w:rPr>
        <w:t xml:space="preserve">Requirement –</w:t>
      </w:r>
      <w:r>
        <w:t xml:space="preserve"> </w:t>
      </w:r>
      <w:r>
        <w:rPr>
          <w:i/>
          <w:iCs/>
        </w:rPr>
        <w:t xml:space="preserve">The system shall support hybrid and cloud deployment options for flexibility.</w:t>
      </w:r>
      <w:r>
        <w:t xml:space="preserve"> </w:t>
      </w:r>
      <w:r>
        <w:t xml:space="preserve">It must be deployable on-premises (edge servers) for low-latency, on the cloud for scalability, or a combination (hybrid architecture). For example, the platform should allow models to run on edge devices connected to cameras for real-time inspection, while also syncing with a cloud instance for centralized management</w:t>
      </w:r>
      <w:hyperlink r:id="rId43">
        <w:r>
          <w:rPr>
            <w:rStyle w:val="Hyperlink"/>
          </w:rPr>
          <w:t xml:space="preserve">[13]</w:t>
        </w:r>
      </w:hyperlink>
      <w:r>
        <w:t xml:space="preserve">.</w:t>
      </w:r>
      <w:r>
        <w:br/>
      </w:r>
      <w:r>
        <w:rPr>
          <w:b/>
          <w:bCs/>
        </w:rPr>
        <w:t xml:space="preserve">User Story –</w:t>
      </w:r>
      <w:r>
        <w:t xml:space="preserve"> </w:t>
      </w:r>
      <w:r>
        <w:rPr>
          <w:i/>
          <w:iCs/>
        </w:rPr>
        <w:t xml:space="preserve">As an IT Infrastructure Lead,</w:t>
      </w:r>
      <w:r>
        <w:t xml:space="preserve"> </w:t>
      </w:r>
      <w:r>
        <w:t xml:space="preserve">I want the vision solution to run both on our factory floor servers and in our cloud environment, so that we can meet real-time processing needs on the shop floor and leverage cloud resources for data storage and aggregate analysis.</w:t>
      </w:r>
    </w:p>
    <w:p>
      <w:pPr>
        <w:numPr>
          <w:ilvl w:val="0"/>
          <w:numId w:val="1010"/>
        </w:numPr>
      </w:pPr>
      <w:r>
        <w:rPr>
          <w:b/>
          <w:bCs/>
        </w:rPr>
        <w:t xml:space="preserve">Requirement –</w:t>
      </w:r>
      <w:r>
        <w:t xml:space="preserve"> </w:t>
      </w:r>
      <w:r>
        <w:rPr>
          <w:i/>
          <w:iCs/>
        </w:rPr>
        <w:t xml:space="preserve">The system shall implement role-based access control (RBAC) for all functions.</w:t>
      </w:r>
      <w:r>
        <w:t xml:space="preserve"> </w:t>
      </w:r>
      <w:r>
        <w:t xml:space="preserve">It must allow definition of user roles (e.g. Administrator, Data Scientist, Operator) with granular permissions. Only authorized individuals can perform critical actions like model training, deployments, or configuration changes</w:t>
      </w:r>
      <w:hyperlink r:id="rId44">
        <w:r>
          <w:rPr>
            <w:rStyle w:val="Hyperlink"/>
          </w:rPr>
          <w:t xml:space="preserve">[14]</w:t>
        </w:r>
      </w:hyperlink>
      <w:r>
        <w:t xml:space="preserve">.</w:t>
      </w:r>
      <w:r>
        <w:br/>
      </w:r>
      <w:r>
        <w:rPr>
          <w:b/>
          <w:bCs/>
        </w:rPr>
        <w:t xml:space="preserve">User Story –</w:t>
      </w:r>
      <w:r>
        <w:t xml:space="preserve"> </w:t>
      </w:r>
      <w:r>
        <w:rPr>
          <w:i/>
          <w:iCs/>
        </w:rPr>
        <w:t xml:space="preserve">As a Compliance Officer,</w:t>
      </w:r>
      <w:r>
        <w:t xml:space="preserve"> </w:t>
      </w:r>
      <w:r>
        <w:t xml:space="preserve">I want to restrict system access based on job roles, so that only trained and authorized personnel can modify models or settings, ensuring accountability and compliance with our SOPs.</w:t>
      </w:r>
    </w:p>
    <w:p>
      <w:pPr>
        <w:numPr>
          <w:ilvl w:val="0"/>
          <w:numId w:val="1010"/>
        </w:numPr>
      </w:pPr>
      <w:r>
        <w:rPr>
          <w:b/>
          <w:bCs/>
        </w:rPr>
        <w:t xml:space="preserve">Requirement –</w:t>
      </w:r>
      <w:r>
        <w:t xml:space="preserve"> </w:t>
      </w:r>
      <w:r>
        <w:rPr>
          <w:i/>
          <w:iCs/>
        </w:rPr>
        <w:t xml:space="preserve">The system shall integrate with external systems via MQTT messaging.</w:t>
      </w:r>
      <w:r>
        <w:t xml:space="preserve"> </w:t>
      </w:r>
      <w:r>
        <w:t xml:space="preserve">It should be capable of publishing real-time inspection results or anomaly alerts to an MQTT broker and subscribing to relevant commands or updates. This allows the vision platform to send detection events to IoT/SCADA systems and to receive control signals or model updates dynamically</w:t>
      </w:r>
      <w:hyperlink r:id="rId45">
        <w:r>
          <w:rPr>
            <w:rStyle w:val="Hyperlink"/>
          </w:rPr>
          <w:t xml:space="preserve">[15]</w:t>
        </w:r>
      </w:hyperlink>
      <w:r>
        <w:t xml:space="preserve">.</w:t>
      </w:r>
      <w:r>
        <w:br/>
      </w:r>
      <w:r>
        <w:rPr>
          <w:b/>
          <w:bCs/>
        </w:rPr>
        <w:t xml:space="preserve">User Story –</w:t>
      </w:r>
      <w:r>
        <w:t xml:space="preserve"> </w:t>
      </w:r>
      <w:r>
        <w:rPr>
          <w:i/>
          <w:iCs/>
        </w:rPr>
        <w:t xml:space="preserve">As an Industrial IoT Engineer,</w:t>
      </w:r>
      <w:r>
        <w:t xml:space="preserve"> </w:t>
      </w:r>
      <w:r>
        <w:t xml:space="preserve">I want the platform to push defect alerts to our MQTT message bus whenever a product anomaly is detected, so that downstream systems (like alarms or PLCs) can automatically halt production and alert technicians in real time.</w:t>
      </w:r>
    </w:p>
    <w:p>
      <w:pPr>
        <w:numPr>
          <w:ilvl w:val="0"/>
          <w:numId w:val="1010"/>
        </w:numPr>
      </w:pPr>
      <w:r>
        <w:rPr>
          <w:b/>
          <w:bCs/>
        </w:rPr>
        <w:t xml:space="preserve">Requirement –</w:t>
      </w:r>
      <w:r>
        <w:t xml:space="preserve"> </w:t>
      </w:r>
      <w:r>
        <w:rPr>
          <w:i/>
          <w:iCs/>
        </w:rPr>
        <w:t xml:space="preserve">The system shall record secure, timestamped audit trails for all GxP-critical actions.</w:t>
      </w:r>
      <w:r>
        <w:t xml:space="preserve"> </w:t>
      </w:r>
      <w:r>
        <w:t xml:space="preserve">Key events such as user logins, configuration changes, model training runs, and deployments must be automatically logged with user ID, timestamp, and details, in a</w:t>
      </w:r>
      <w:r>
        <w:t xml:space="preserve"> </w:t>
      </w:r>
      <w:r>
        <w:rPr>
          <w:b/>
          <w:bCs/>
        </w:rPr>
        <w:t xml:space="preserve">non-modifiable</w:t>
      </w:r>
      <w:r>
        <w:t xml:space="preserve"> </w:t>
      </w:r>
      <w:r>
        <w:t xml:space="preserve">manner</w:t>
      </w:r>
      <w:hyperlink r:id="rId46">
        <w:r>
          <w:rPr>
            <w:rStyle w:val="Hyperlink"/>
          </w:rPr>
          <w:t xml:space="preserve">[16]</w:t>
        </w:r>
      </w:hyperlink>
      <w:r>
        <w:t xml:space="preserve">. Audit trail data should be easily retrievable for review.</w:t>
      </w:r>
      <w:r>
        <w:br/>
      </w:r>
      <w:r>
        <w:rPr>
          <w:b/>
          <w:bCs/>
        </w:rPr>
        <w:t xml:space="preserve">User Story –</w:t>
      </w:r>
      <w:r>
        <w:t xml:space="preserve"> </w:t>
      </w:r>
      <w:r>
        <w:rPr>
          <w:i/>
          <w:iCs/>
        </w:rPr>
        <w:t xml:space="preserve">As a QA Validation Specialist,</w:t>
      </w:r>
      <w:r>
        <w:t xml:space="preserve"> </w:t>
      </w:r>
      <w:r>
        <w:t xml:space="preserve">I want every change in the system (for example, a model parameter update or a dataset modification) to be logged with who made the change and when, so that we have a complete history for audits and can demonstrate 21 CFR Part 11 compliance in terms of data integrity.</w:t>
      </w:r>
    </w:p>
    <w:p>
      <w:pPr>
        <w:numPr>
          <w:ilvl w:val="0"/>
          <w:numId w:val="1010"/>
        </w:numPr>
      </w:pPr>
      <w:r>
        <w:rPr>
          <w:b/>
          <w:bCs/>
        </w:rPr>
        <w:t xml:space="preserve">Requirement –</w:t>
      </w:r>
      <w:r>
        <w:t xml:space="preserve"> </w:t>
      </w:r>
      <w:r>
        <w:rPr>
          <w:i/>
          <w:iCs/>
        </w:rPr>
        <w:t xml:space="preserve">The system shall be suitable for use in a 21 CFR Part 11 compliant environment, providing full GxP compliance features.</w:t>
      </w:r>
      <w:r>
        <w:t xml:space="preserve"> </w:t>
      </w:r>
      <w:r>
        <w:t xml:space="preserve">This includes supporting</w:t>
      </w:r>
      <w:r>
        <w:t xml:space="preserve"> </w:t>
      </w:r>
      <w:r>
        <w:rPr>
          <w:b/>
          <w:bCs/>
        </w:rPr>
        <w:t xml:space="preserve">electronic records and signatures</w:t>
      </w:r>
      <w:r>
        <w:t xml:space="preserve">, comprehensive system logging, and version control of configurations and models. For instance, the platform should maintain version histories of trained models and configuration files, and require electronic sign-off for critical actions or releases, in line with</w:t>
      </w:r>
      <w:r>
        <w:t xml:space="preserve"> </w:t>
      </w:r>
      <w:r>
        <w:rPr>
          <w:b/>
          <w:bCs/>
        </w:rPr>
        <w:t xml:space="preserve">Part 11</w:t>
      </w:r>
      <w:r>
        <w:t xml:space="preserve"> </w:t>
      </w:r>
      <w:r>
        <w:t xml:space="preserve">guidelines on electronic signatures and change control</w:t>
      </w:r>
      <w:hyperlink r:id="rId22">
        <w:r>
          <w:rPr>
            <w:rStyle w:val="Hyperlink"/>
          </w:rPr>
          <w:t xml:space="preserve">[2]</w:t>
        </w:r>
      </w:hyperlink>
      <w:hyperlink r:id="rId25">
        <w:r>
          <w:rPr>
            <w:rStyle w:val="Hyperlink"/>
          </w:rPr>
          <w:t xml:space="preserve">[4]</w:t>
        </w:r>
      </w:hyperlink>
      <w:r>
        <w:t xml:space="preserve">.</w:t>
      </w:r>
      <w:r>
        <w:br/>
      </w:r>
      <w:r>
        <w:rPr>
          <w:b/>
          <w:bCs/>
        </w:rPr>
        <w:t xml:space="preserve">User Story –</w:t>
      </w:r>
      <w:r>
        <w:t xml:space="preserve"> </w:t>
      </w:r>
      <w:r>
        <w:rPr>
          <w:i/>
          <w:iCs/>
        </w:rPr>
        <w:t xml:space="preserve">As a Validation Manager,</w:t>
      </w:r>
      <w:r>
        <w:t xml:space="preserve"> </w:t>
      </w:r>
      <w:r>
        <w:t xml:space="preserve">I want the platform to inherently support compliance features – such as versioning every AI model with a unique version ID and retaining previous versions, and allowing us to apply electronic approvals when deploying a model to production – so that we can manage changes under control and readily pass regulatory audits.</w:t>
      </w:r>
    </w:p>
    <w:p>
      <w:pPr>
        <w:pStyle w:val="FirstParagraph"/>
      </w:pPr>
      <w:r>
        <w:rPr>
          <w:b/>
          <w:bCs/>
        </w:rPr>
        <w:t xml:space="preserve">Regulatory Note:</w:t>
      </w:r>
      <w:r>
        <w:t xml:space="preserve"> </w:t>
      </w:r>
      <w:r>
        <w:t xml:space="preserve">The above requirements ensure the computer vision system is not only functionally powerful but also compliant with regulatory expectations for electronic systems. By implementing</w:t>
      </w:r>
      <w:r>
        <w:t xml:space="preserve"> </w:t>
      </w:r>
      <w:r>
        <w:rPr>
          <w:b/>
          <w:bCs/>
        </w:rPr>
        <w:t xml:space="preserve">role-based security</w:t>
      </w:r>
      <w:r>
        <w:t xml:space="preserve">,</w:t>
      </w:r>
      <w:r>
        <w:t xml:space="preserve"> </w:t>
      </w:r>
      <w:r>
        <w:rPr>
          <w:b/>
          <w:bCs/>
        </w:rPr>
        <w:t xml:space="preserve">audit trails</w:t>
      </w:r>
      <w:r>
        <w:t xml:space="preserve">,</w:t>
      </w:r>
      <w:r>
        <w:t xml:space="preserve"> </w:t>
      </w:r>
      <w:r>
        <w:rPr>
          <w:b/>
          <w:bCs/>
        </w:rPr>
        <w:t xml:space="preserve">data integrity controls</w:t>
      </w:r>
      <w:r>
        <w:t xml:space="preserve">, and</w:t>
      </w:r>
      <w:r>
        <w:t xml:space="preserve"> </w:t>
      </w:r>
      <w:r>
        <w:rPr>
          <w:b/>
          <w:bCs/>
        </w:rPr>
        <w:t xml:space="preserve">configuration management</w:t>
      </w:r>
      <w:r>
        <w:t xml:space="preserve">, the platform will meet FDA’s Part 11 criteria for trustworthy electronic records and signatures</w:t>
      </w:r>
      <w:hyperlink r:id="rId22">
        <w:r>
          <w:rPr>
            <w:rStyle w:val="Hyperlink"/>
          </w:rPr>
          <w:t xml:space="preserve">[2]</w:t>
        </w:r>
      </w:hyperlink>
      <w:r>
        <w:t xml:space="preserve">. Each requirement is testable and traceable, forming the basis for design, configuration, and validation of the platform in a GxP setting. Compliance features like audit trails and access control will be verified during OQ/PQ testing to confirm that the system can be validated for intended use in production.</w:t>
      </w:r>
    </w:p>
    <w:bookmarkEnd w:id="47"/>
    <w:bookmarkEnd w:id="48"/>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[4]</w:t>
        </w:r>
      </w:hyperlink>
      <w:r>
        <w:t xml:space="preserve"> </w:t>
      </w:r>
      <w:hyperlink r:id="rId32">
        <w:r>
          <w:rPr>
            <w:rStyle w:val="Hyperlink"/>
          </w:rPr>
          <w:t xml:space="preserve">[7]</w:t>
        </w:r>
      </w:hyperlink>
      <w:r>
        <w:t xml:space="preserve"> </w:t>
      </w:r>
      <w:hyperlink r:id="rId34">
        <w:r>
          <w:rPr>
            <w:rStyle w:val="Hyperlink"/>
          </w:rPr>
          <w:t xml:space="preserve">[8]</w:t>
        </w:r>
      </w:hyperlink>
      <w:r>
        <w:t xml:space="preserve"> </w:t>
      </w:r>
      <w:hyperlink r:id="rId44">
        <w:r>
          <w:rPr>
            <w:rStyle w:val="Hyperlink"/>
          </w:rPr>
          <w:t xml:space="preserve">[14]</w:t>
        </w:r>
      </w:hyperlink>
      <w:r>
        <w:t xml:space="preserve"> </w:t>
      </w:r>
      <w:hyperlink r:id="rId46">
        <w:r>
          <w:rPr>
            <w:rStyle w:val="Hyperlink"/>
          </w:rPr>
          <w:t xml:space="preserve">[16]</w:t>
        </w:r>
      </w:hyperlink>
      <w:r>
        <w:t xml:space="preserve"> </w:t>
      </w:r>
      <w:r>
        <w:t xml:space="preserve">Navigating 21 CFR Part 11 Compliance: Leveraging GAMP 5 and ALCOA Principles for Robust Electronic Records and Signatures Management</w:t>
      </w:r>
    </w:p>
    <w:p>
      <w:pPr>
        <w:pStyle w:val="BodyText"/>
      </w:pPr>
      <w:hyperlink r:id="rId49">
        <w:r>
          <w:rPr>
            <w:rStyle w:val="Hyperlink"/>
          </w:rPr>
          <w:t xml:space="preserve">https://blog.cloudbyz.com/resources/navigating-21-cfr-part-11-compliance-leveraging-gamp-5-and-alcoa-principles-for-robust-electronic-records-and-signatures-management</w:t>
        </w:r>
      </w:hyperlink>
    </w:p>
    <w:p>
      <w:pPr>
        <w:pStyle w:val="BodyText"/>
      </w:pPr>
      <w:hyperlink r:id="rId23">
        <w:r>
          <w:rPr>
            <w:rStyle w:val="Hyperlink"/>
          </w:rPr>
          <w:t xml:space="preserve">[3]</w:t>
        </w:r>
      </w:hyperlink>
      <w:r>
        <w:t xml:space="preserve"> </w:t>
      </w:r>
      <w:hyperlink r:id="rId28">
        <w:r>
          <w:rPr>
            <w:rStyle w:val="Hyperlink"/>
          </w:rPr>
          <w:t xml:space="preserve">[5]</w:t>
        </w:r>
      </w:hyperlink>
      <w:r>
        <w:t xml:space="preserve"> </w:t>
      </w:r>
      <w:hyperlink r:id="rId37">
        <w:r>
          <w:rPr>
            <w:rStyle w:val="Hyperlink"/>
          </w:rPr>
          <w:t xml:space="preserve">[9]</w:t>
        </w:r>
      </w:hyperlink>
      <w:r>
        <w:t xml:space="preserve"> </w:t>
      </w:r>
      <w:r>
        <w:t xml:space="preserve">Understanding GAMP 5 Guidelines for System Validation | IntuitionLabs</w:t>
      </w:r>
    </w:p>
    <w:p>
      <w:pPr>
        <w:pStyle w:val="BodyText"/>
      </w:pPr>
      <w:hyperlink r:id="rId50">
        <w:r>
          <w:rPr>
            <w:rStyle w:val="Hyperlink"/>
          </w:rPr>
          <w:t xml:space="preserve">https://intuitionlabs.ai/articles/gamp-5-guidelines-system-validation</w:t>
        </w:r>
      </w:hyperlink>
    </w:p>
    <w:p>
      <w:pPr>
        <w:pStyle w:val="BodyText"/>
      </w:pPr>
      <w:hyperlink r:id="rId30">
        <w:r>
          <w:rPr>
            <w:rStyle w:val="Hyperlink"/>
          </w:rPr>
          <w:t xml:space="preserve">[6]</w:t>
        </w:r>
      </w:hyperlink>
      <w:r>
        <w:t xml:space="preserve"> </w:t>
      </w:r>
      <w:r>
        <w:t xml:space="preserve">A Complete Guide to Computer System Validation (CSV) | QbD Group</w:t>
      </w:r>
    </w:p>
    <w:p>
      <w:pPr>
        <w:pStyle w:val="BodyText"/>
      </w:pPr>
      <w:hyperlink r:id="rId51">
        <w:r>
          <w:rPr>
            <w:rStyle w:val="Hyperlink"/>
          </w:rPr>
          <w:t xml:space="preserve">https://www.qbdgroup.com/en/a-complete-guide-to-computer-system-validation/</w:t>
        </w:r>
      </w:hyperlink>
    </w:p>
    <w:p>
      <w:pPr>
        <w:pStyle w:val="BodyText"/>
      </w:pPr>
      <w:hyperlink r:id="rId40">
        <w:r>
          <w:rPr>
            <w:rStyle w:val="Hyperlink"/>
          </w:rPr>
          <w:t xml:space="preserve">[10]</w:t>
        </w:r>
      </w:hyperlink>
      <w:r>
        <w:t xml:space="preserve"> </w:t>
      </w:r>
      <w:hyperlink r:id="rId42">
        <w:r>
          <w:rPr>
            <w:rStyle w:val="Hyperlink"/>
          </w:rPr>
          <w:t xml:space="preserve">[12]</w:t>
        </w:r>
      </w:hyperlink>
      <w:r>
        <w:t xml:space="preserve"> </w:t>
      </w:r>
      <w:r>
        <w:t xml:space="preserve">IBM Maximo Visual Inspection overview</w:t>
      </w:r>
    </w:p>
    <w:p>
      <w:pPr>
        <w:pStyle w:val="BodyText"/>
      </w:pPr>
      <w:hyperlink r:id="rId52">
        <w:r>
          <w:rPr>
            <w:rStyle w:val="Hyperlink"/>
          </w:rPr>
          <w:t xml:space="preserve">https://www.ibm.com/docs/en/masv-and-l/maximo-vi/cd?topic=overview</w:t>
        </w:r>
      </w:hyperlink>
    </w:p>
    <w:p>
      <w:pPr>
        <w:pStyle w:val="BodyText"/>
      </w:pPr>
      <w:hyperlink r:id="rId41">
        <w:r>
          <w:rPr>
            <w:rStyle w:val="Hyperlink"/>
          </w:rPr>
          <w:t xml:space="preserve">[11]</w:t>
        </w:r>
      </w:hyperlink>
      <w:r>
        <w:t xml:space="preserve"> </w:t>
      </w:r>
      <w:r>
        <w:t xml:space="preserve">IBM Maximo Visual Inspection | AI Inspections by Naviam</w:t>
      </w:r>
    </w:p>
    <w:p>
      <w:pPr>
        <w:pStyle w:val="BodyText"/>
      </w:pPr>
      <w:hyperlink r:id="rId53">
        <w:r>
          <w:rPr>
            <w:rStyle w:val="Hyperlink"/>
          </w:rPr>
          <w:t xml:space="preserve">https://www.naviam.io/products/ibm-maximo-application-suite/visual-inspection</w:t>
        </w:r>
      </w:hyperlink>
    </w:p>
    <w:p>
      <w:pPr>
        <w:pStyle w:val="BodyText"/>
      </w:pPr>
      <w:hyperlink r:id="rId43">
        <w:r>
          <w:rPr>
            <w:rStyle w:val="Hyperlink"/>
          </w:rPr>
          <w:t xml:space="preserve">[13]</w:t>
        </w:r>
      </w:hyperlink>
      <w:r>
        <w:t xml:space="preserve"> </w:t>
      </w:r>
      <w:r>
        <w:t xml:space="preserve">AWS Marketplace: IBM Maximo Application Suite Inspection Essentials (SaaS)</w:t>
      </w:r>
    </w:p>
    <w:p>
      <w:pPr>
        <w:pStyle w:val="BodyText"/>
      </w:pPr>
      <w:hyperlink r:id="rId54">
        <w:r>
          <w:rPr>
            <w:rStyle w:val="Hyperlink"/>
          </w:rPr>
          <w:t xml:space="preserve">https://aws.amazon.com/marketplace/pp/prodview-ydz7j2uxpupvu</w:t>
        </w:r>
      </w:hyperlink>
    </w:p>
    <w:p>
      <w:pPr>
        <w:pStyle w:val="BodyText"/>
      </w:pPr>
      <w:hyperlink r:id="rId45">
        <w:r>
          <w:rPr>
            <w:rStyle w:val="Hyperlink"/>
          </w:rPr>
          <w:t xml:space="preserve">[15]</w:t>
        </w:r>
      </w:hyperlink>
      <w:r>
        <w:t xml:space="preserve"> </w:t>
      </w:r>
      <w:r>
        <w:t xml:space="preserve">Enhancing Quality Control in Manufacturing with Visual Inspection Systems and MQTT</w:t>
      </w:r>
    </w:p>
    <w:p>
      <w:pPr>
        <w:pStyle w:val="BodyText"/>
      </w:pPr>
      <w:hyperlink r:id="rId55">
        <w:r>
          <w:rPr>
            <w:rStyle w:val="Hyperlink"/>
          </w:rPr>
          <w:t xml:space="preserve">https://www.hivemq.com/blog/enhancing-quality-control-manufacturing-visual-inspection-systems-mqtt/</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aws.amazon.com/marketplace/pp/prodview-ydz7j2uxpupvu" TargetMode="External" /><Relationship Type="http://schemas.openxmlformats.org/officeDocument/2006/relationships/hyperlink" Id="rId43" Target="https://aws.amazon.com/marketplace/pp/prodview-ydz7j2uxpupvu#:~:text=,Application%20Suite%20SaaS%20Standard%20Edition" TargetMode="External" /><Relationship Type="http://schemas.openxmlformats.org/officeDocument/2006/relationships/hyperlink" Id="rId49" Target="https://blog.cloudbyz.com/resources/navigating-21-cfr-part-11-compliance-leveraging-gamp-5-and-alcoa-principles-for-robust-electronic-records-and-signatures-management" TargetMode="External" /><Relationship Type="http://schemas.openxmlformats.org/officeDocument/2006/relationships/hyperlink" Id="rId32" Target="https://blog.cloudbyz.com/resources/navigating-21-cfr-part-11-compliance-leveraging-gamp-5-and-alcoa-principles-for-robust-electronic-records-and-signatures-management#:~:text=" TargetMode="External" /><Relationship Type="http://schemas.openxmlformats.org/officeDocument/2006/relationships/hyperlink" Id="rId22" Target="https://blog.cloudbyz.com/resources/navigating-21-cfr-part-11-compliance-leveraging-gamp-5-and-alcoa-principles-for-robust-electronic-records-and-signatures-management#:~:text=,CFR%20Part%2011" TargetMode="External" /><Relationship Type="http://schemas.openxmlformats.org/officeDocument/2006/relationships/hyperlink" Id="rId44" Target="https://blog.cloudbyz.com/resources/navigating-21-cfr-part-11-compliance-leveraging-gamp-5-and-alcoa-principles-for-robust-electronic-records-and-signatures-management#:~:text=,individuals%20can%20use%20the%20system" TargetMode="External" /><Relationship Type="http://schemas.openxmlformats.org/officeDocument/2006/relationships/hyperlink" Id="rId46" Target="https://blog.cloudbyz.com/resources/navigating-21-cfr-part-11-compliance-leveraging-gamp-5-and-alcoa-principles-for-robust-electronic-records-and-signatures-management#:~:text=,reliability%2C%20and%20consistent%20intended%20performance" TargetMode="External" /><Relationship Type="http://schemas.openxmlformats.org/officeDocument/2006/relationships/hyperlink" Id="rId34" Target="https://blog.cloudbyz.com/resources/navigating-21-cfr-part-11-compliance-leveraging-gamp-5-and-alcoa-principles-for-robust-electronic-records-and-signatures-management#:~:text=,stamped" TargetMode="External" /><Relationship Type="http://schemas.openxmlformats.org/officeDocument/2006/relationships/hyperlink" Id="rId25" Target="https://blog.cloudbyz.com/resources/navigating-21-cfr-part-11-compliance-leveraging-gamp-5-and-alcoa-principles-for-robust-electronic-records-and-signatures-management#:~:text=3,access%2C%20and%20electronic%20signature%20features" TargetMode="External" /><Relationship Type="http://schemas.openxmlformats.org/officeDocument/2006/relationships/hyperlink" Id="rId21" Target="https://blog.cloudbyz.com/resources/navigating-21-cfr-part-11-compliance-leveraging-gamp-5-and-alcoa-principles-for-robust-electronic-records-and-signatures-management#:~:text=GAMP%205%20Categories%20of%20Software%3A" TargetMode="External" /><Relationship Type="http://schemas.openxmlformats.org/officeDocument/2006/relationships/hyperlink" Id="rId50" Target="https://intuitionlabs.ai/articles/gamp-5-guidelines-system-validation" TargetMode="External" /><Relationship Type="http://schemas.openxmlformats.org/officeDocument/2006/relationships/hyperlink" Id="rId23" Target="https://intuitionlabs.ai/articles/gamp-5-guidelines-system-validation#:~:text=1,Depending%20on%20the%20system%20type" TargetMode="External" /><Relationship Type="http://schemas.openxmlformats.org/officeDocument/2006/relationships/hyperlink" Id="rId28" Target="https://intuitionlabs.ai/articles/gamp-5-guidelines-system-validation#:~:text=4,and%20user%20training%20in%20place" TargetMode="External" /><Relationship Type="http://schemas.openxmlformats.org/officeDocument/2006/relationships/hyperlink" Id="rId37" Target="https://intuitionlabs.ai/articles/gamp-5-guidelines-system-validation#:~:text=should%20trace%20back%20to%20URS,security%20patches" TargetMode="External" /><Relationship Type="http://schemas.openxmlformats.org/officeDocument/2006/relationships/hyperlink" Id="rId55" Target="https://www.hivemq.com/blog/enhancing-quality-control-manufacturing-visual-inspection-systems-mqtt/" TargetMode="External" /><Relationship Type="http://schemas.openxmlformats.org/officeDocument/2006/relationships/hyperlink" Id="rId45" Target="https://www.hivemq.com/blog/enhancing-quality-control-manufacturing-visual-inspection-systems-mqtt/#:~:text=%2A%20Real,in%20stamped%20parts%2C%20reducing%20waste" TargetMode="External" /><Relationship Type="http://schemas.openxmlformats.org/officeDocument/2006/relationships/hyperlink" Id="rId52" Target="https://www.ibm.com/docs/en/masv-and-l/maximo-vi/cd?topic=overview" TargetMode="External" /><Relationship Type="http://schemas.openxmlformats.org/officeDocument/2006/relationships/hyperlink" Id="rId40" Target="https://www.ibm.com/docs/en/masv-and-l/maximo-vi/cd?topic=overview#:~:text=An%20intuitive%20tool%20set%20empowers,object%20detection%2C%20and%20anomaly%20detection" TargetMode="External" /><Relationship Type="http://schemas.openxmlformats.org/officeDocument/2006/relationships/hyperlink" Id="rId42" Target="https://www.ibm.com/docs/en/masv-and-l/maximo-vi/cd?topic=overview#:~:text=Anomaly%20detection%20Create%20a%20data,objects%20are%20defects%20or%20not" TargetMode="External" /><Relationship Type="http://schemas.openxmlformats.org/officeDocument/2006/relationships/hyperlink" Id="rId53" Target="https://www.naviam.io/products/ibm-maximo-application-suite/visual-inspection" TargetMode="External" /><Relationship Type="http://schemas.openxmlformats.org/officeDocument/2006/relationships/hyperlink" Id="rId41" Target="https://www.naviam.io/products/ibm-maximo-application-suite/visual-inspection#:~:text=,and%20IoT%20Devices" TargetMode="External" /><Relationship Type="http://schemas.openxmlformats.org/officeDocument/2006/relationships/hyperlink" Id="rId51" Target="https://www.qbdgroup.com/en/a-complete-guide-to-computer-system-validation/" TargetMode="External" /><Relationship Type="http://schemas.openxmlformats.org/officeDocument/2006/relationships/hyperlink" Id="rId30" Target="https://www.qbdgroup.com/en/a-complete-guide-to-computer-system-validation/#:~:text=The%20GAMP%C2%AE%20Guide%20suggests%20that,more%20specificity%20and%20robustness%20testing" TargetMode="External" /></Relationships>
</file>

<file path=word/_rels/footnotes.xml.rels><?xml version="1.0" encoding="UTF-8"?><Relationships xmlns="http://schemas.openxmlformats.org/package/2006/relationships"><Relationship Type="http://schemas.openxmlformats.org/officeDocument/2006/relationships/hyperlink" Id="rId54" Target="https://aws.amazon.com/marketplace/pp/prodview-ydz7j2uxpupvu" TargetMode="External" /><Relationship Type="http://schemas.openxmlformats.org/officeDocument/2006/relationships/hyperlink" Id="rId43" Target="https://aws.amazon.com/marketplace/pp/prodview-ydz7j2uxpupvu#:~:text=,Application%20Suite%20SaaS%20Standard%20Edition" TargetMode="External" /><Relationship Type="http://schemas.openxmlformats.org/officeDocument/2006/relationships/hyperlink" Id="rId49" Target="https://blog.cloudbyz.com/resources/navigating-21-cfr-part-11-compliance-leveraging-gamp-5-and-alcoa-principles-for-robust-electronic-records-and-signatures-management" TargetMode="External" /><Relationship Type="http://schemas.openxmlformats.org/officeDocument/2006/relationships/hyperlink" Id="rId32" Target="https://blog.cloudbyz.com/resources/navigating-21-cfr-part-11-compliance-leveraging-gamp-5-and-alcoa-principles-for-robust-electronic-records-and-signatures-management#:~:text=" TargetMode="External" /><Relationship Type="http://schemas.openxmlformats.org/officeDocument/2006/relationships/hyperlink" Id="rId22" Target="https://blog.cloudbyz.com/resources/navigating-21-cfr-part-11-compliance-leveraging-gamp-5-and-alcoa-principles-for-robust-electronic-records-and-signatures-management#:~:text=,CFR%20Part%2011" TargetMode="External" /><Relationship Type="http://schemas.openxmlformats.org/officeDocument/2006/relationships/hyperlink" Id="rId44" Target="https://blog.cloudbyz.com/resources/navigating-21-cfr-part-11-compliance-leveraging-gamp-5-and-alcoa-principles-for-robust-electronic-records-and-signatures-management#:~:text=,individuals%20can%20use%20the%20system" TargetMode="External" /><Relationship Type="http://schemas.openxmlformats.org/officeDocument/2006/relationships/hyperlink" Id="rId46" Target="https://blog.cloudbyz.com/resources/navigating-21-cfr-part-11-compliance-leveraging-gamp-5-and-alcoa-principles-for-robust-electronic-records-and-signatures-management#:~:text=,reliability%2C%20and%20consistent%20intended%20performance" TargetMode="External" /><Relationship Type="http://schemas.openxmlformats.org/officeDocument/2006/relationships/hyperlink" Id="rId34" Target="https://blog.cloudbyz.com/resources/navigating-21-cfr-part-11-compliance-leveraging-gamp-5-and-alcoa-principles-for-robust-electronic-records-and-signatures-management#:~:text=,stamped" TargetMode="External" /><Relationship Type="http://schemas.openxmlformats.org/officeDocument/2006/relationships/hyperlink" Id="rId25" Target="https://blog.cloudbyz.com/resources/navigating-21-cfr-part-11-compliance-leveraging-gamp-5-and-alcoa-principles-for-robust-electronic-records-and-signatures-management#:~:text=3,access%2C%20and%20electronic%20signature%20features" TargetMode="External" /><Relationship Type="http://schemas.openxmlformats.org/officeDocument/2006/relationships/hyperlink" Id="rId21" Target="https://blog.cloudbyz.com/resources/navigating-21-cfr-part-11-compliance-leveraging-gamp-5-and-alcoa-principles-for-robust-electronic-records-and-signatures-management#:~:text=GAMP%205%20Categories%20of%20Software%3A" TargetMode="External" /><Relationship Type="http://schemas.openxmlformats.org/officeDocument/2006/relationships/hyperlink" Id="rId50" Target="https://intuitionlabs.ai/articles/gamp-5-guidelines-system-validation" TargetMode="External" /><Relationship Type="http://schemas.openxmlformats.org/officeDocument/2006/relationships/hyperlink" Id="rId23" Target="https://intuitionlabs.ai/articles/gamp-5-guidelines-system-validation#:~:text=1,Depending%20on%20the%20system%20type" TargetMode="External" /><Relationship Type="http://schemas.openxmlformats.org/officeDocument/2006/relationships/hyperlink" Id="rId28" Target="https://intuitionlabs.ai/articles/gamp-5-guidelines-system-validation#:~:text=4,and%20user%20training%20in%20place" TargetMode="External" /><Relationship Type="http://schemas.openxmlformats.org/officeDocument/2006/relationships/hyperlink" Id="rId37" Target="https://intuitionlabs.ai/articles/gamp-5-guidelines-system-validation#:~:text=should%20trace%20back%20to%20URS,security%20patches" TargetMode="External" /><Relationship Type="http://schemas.openxmlformats.org/officeDocument/2006/relationships/hyperlink" Id="rId55" Target="https://www.hivemq.com/blog/enhancing-quality-control-manufacturing-visual-inspection-systems-mqtt/" TargetMode="External" /><Relationship Type="http://schemas.openxmlformats.org/officeDocument/2006/relationships/hyperlink" Id="rId45" Target="https://www.hivemq.com/blog/enhancing-quality-control-manufacturing-visual-inspection-systems-mqtt/#:~:text=%2A%20Real,in%20stamped%20parts%2C%20reducing%20waste" TargetMode="External" /><Relationship Type="http://schemas.openxmlformats.org/officeDocument/2006/relationships/hyperlink" Id="rId52" Target="https://www.ibm.com/docs/en/masv-and-l/maximo-vi/cd?topic=overview" TargetMode="External" /><Relationship Type="http://schemas.openxmlformats.org/officeDocument/2006/relationships/hyperlink" Id="rId40" Target="https://www.ibm.com/docs/en/masv-and-l/maximo-vi/cd?topic=overview#:~:text=An%20intuitive%20tool%20set%20empowers,object%20detection%2C%20and%20anomaly%20detection" TargetMode="External" /><Relationship Type="http://schemas.openxmlformats.org/officeDocument/2006/relationships/hyperlink" Id="rId42" Target="https://www.ibm.com/docs/en/masv-and-l/maximo-vi/cd?topic=overview#:~:text=Anomaly%20detection%20Create%20a%20data,objects%20are%20defects%20or%20not" TargetMode="External" /><Relationship Type="http://schemas.openxmlformats.org/officeDocument/2006/relationships/hyperlink" Id="rId53" Target="https://www.naviam.io/products/ibm-maximo-application-suite/visual-inspection" TargetMode="External" /><Relationship Type="http://schemas.openxmlformats.org/officeDocument/2006/relationships/hyperlink" Id="rId41" Target="https://www.naviam.io/products/ibm-maximo-application-suite/visual-inspection#:~:text=,and%20IoT%20Devices" TargetMode="External" /><Relationship Type="http://schemas.openxmlformats.org/officeDocument/2006/relationships/hyperlink" Id="rId51" Target="https://www.qbdgroup.com/en/a-complete-guide-to-computer-system-validation/" TargetMode="External" /><Relationship Type="http://schemas.openxmlformats.org/officeDocument/2006/relationships/hyperlink" Id="rId30" Target="https://www.qbdgroup.com/en/a-complete-guide-to-computer-system-validation/#:~:text=The%20GAMP%C2%AE%20Guide%20suggests%20that,more%20specificity%20and%20robustness%20tes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2025-12-01T19:30:59Z</dcterms:created>
  <dcterms:modified xsi:type="dcterms:W3CDTF">2025-12-01T19:30:59Z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