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0" w:name="content"/>
    <w:bookmarkStart w:id="69" w:name="X863b17f1802eaf95ef5d4cb233e437258b6f586"/>
    <w:p>
      <w:pPr>
        <w:pStyle w:val="Heading1"/>
      </w:pPr>
      <w:r>
        <w:t xml:space="preserve">Transitioning Chromatography Analysis to Real-Time Streaming and Hybrid Batch Modeling in Bioprocessing</w:t>
      </w:r>
    </w:p>
    <w:bookmarkStart w:id="21" w:name="introduction"/>
    <w:p>
      <w:pPr>
        <w:pStyle w:val="Heading2"/>
      </w:pPr>
      <w:r>
        <w:t xml:space="preserve">Introduction</w:t>
      </w:r>
    </w:p>
    <w:p>
      <w:pPr>
        <w:pStyle w:val="FirstParagraph"/>
      </w:pPr>
      <w:r>
        <w:t xml:space="preserve">Modern biopharmaceutical manufacturing is increasingly leveraging digital technologies to improve efficiency and product quality. Two key opportunities are identified in this report: (1) transitioning chromatography transition analysis from a post-run, file-based workflow to a real-time, cloud-based data streaming platform; and (2) implementing hybrid mechanistic–machine learning models for bioreactors to predict critical batch outcomes (such as product titer and cell density) well before batch completion. This report breaks down the current manual processes, highlights inefficiencies, and quantifies potential improvements in time savings, risk reduction, labor efficiency, and decision-making speed. Wherever possible, real industry data and case studies are cited to illustrate the value of these digital transformations in biotech manufacturing.</w:t>
      </w:r>
    </w:p>
    <w:bookmarkEnd w:id="21"/>
    <w:bookmarkStart w:id="50" w:name="X9e15f7378d4ba1261a216eaf5738588af28ffd4"/>
    <w:p>
      <w:pPr>
        <w:pStyle w:val="Heading2"/>
      </w:pPr>
      <w:r>
        <w:t xml:space="preserve">1. Chromatography Transition Analysis: From File-Based Extraction to Real-Time Cloud Platform</w:t>
      </w:r>
    </w:p>
    <w:bookmarkStart w:id="30" w:name="current-end-of-run-file-based-process"/>
    <w:p>
      <w:pPr>
        <w:pStyle w:val="Heading3"/>
      </w:pPr>
      <w:r>
        <w:t xml:space="preserve">1.1 Current End-of-Run File-Based Process</w:t>
      </w:r>
    </w:p>
    <w:p>
      <w:pPr>
        <w:pStyle w:val="FirstParagraph"/>
      </w:pPr>
      <w:r>
        <w:t xml:space="preserve">In many biomanufacturing facilities, chromatography</w:t>
      </w:r>
      <w:r>
        <w:t xml:space="preserve"> </w:t>
      </w:r>
      <w:r>
        <w:rPr>
          <w:b/>
          <w:bCs/>
        </w:rPr>
        <w:t xml:space="preserve">transition analysis</w:t>
      </w:r>
      <w:r>
        <w:t xml:space="preserve"> </w:t>
      </w:r>
      <w:r>
        <w:t xml:space="preserve">(analysis of column performance during transitions between chromatographic steps) is performed only</w:t>
      </w:r>
      <w:r>
        <w:t xml:space="preserve"> </w:t>
      </w:r>
      <w:r>
        <w:rPr>
          <w:i/>
          <w:iCs/>
        </w:rPr>
        <w:t xml:space="preserve">after</w:t>
      </w:r>
      <w:r>
        <w:t xml:space="preserve"> </w:t>
      </w:r>
      <w:r>
        <w:t xml:space="preserve">each run is completed. The typical activities for each Protein A chromatography run are as follows:</w:t>
      </w:r>
    </w:p>
    <w:p>
      <w:pPr>
        <w:pStyle w:val="Compact"/>
        <w:numPr>
          <w:ilvl w:val="0"/>
          <w:numId w:val="1001"/>
        </w:numPr>
      </w:pPr>
      <w:r>
        <w:rPr>
          <w:b/>
          <w:bCs/>
        </w:rPr>
        <w:t xml:space="preserve">Data Retrieval:</w:t>
      </w:r>
      <w:r>
        <w:t xml:space="preserve"> </w:t>
      </w:r>
      <w:r>
        <w:t xml:space="preserve">At the end of the run, process data (e.g. UV absorbance, conductivity, flow rates, pressures) are exported from the chromatography unit’s control system into files (CSV or similar). This might involve an operator manually initiating a data export or retrieving files from each skid. With ~50 chromatography units (columns), each potentially using different formats or operating conditions, gathering all data is labor-intensive.</w:t>
      </w:r>
    </w:p>
    <w:p>
      <w:pPr>
        <w:pStyle w:val="Compact"/>
        <w:numPr>
          <w:ilvl w:val="0"/>
          <w:numId w:val="1001"/>
        </w:numPr>
      </w:pPr>
      <w:r>
        <w:rPr>
          <w:b/>
          <w:bCs/>
        </w:rPr>
        <w:t xml:space="preserve">Data Preparation:</w:t>
      </w:r>
      <w:r>
        <w:t xml:space="preserve"> </w:t>
      </w:r>
      <w:r>
        <w:t xml:space="preserve">An engineer or scientist cleans and compiles the data. This involves filtering noise, interpolating or aligning time stamps, and isolating the relevant</w:t>
      </w:r>
      <w:r>
        <w:t xml:space="preserve"> </w:t>
      </w:r>
      <w:r>
        <w:rPr>
          <w:b/>
          <w:bCs/>
        </w:rPr>
        <w:t xml:space="preserve">transition periods</w:t>
      </w:r>
      <w:r>
        <w:t xml:space="preserve"> </w:t>
      </w:r>
      <w:r>
        <w:t xml:space="preserve">(e.g. step changes from load to wash, wash to elution, etc.). Since transition analysis focuses on subtle changes during step shifts, careful data conditioning is needed (outliers removed, signals smoothed) to ensure accuracy</w:t>
      </w:r>
      <w:hyperlink r:id="rId22">
        <w:r>
          <w:rPr>
            <w:rStyle w:val="Hyperlink"/>
          </w:rPr>
          <w:t xml:space="preserve">[1]</w:t>
        </w:r>
      </w:hyperlink>
      <w:hyperlink r:id="rId23">
        <w:r>
          <w:rPr>
            <w:rStyle w:val="Hyperlink"/>
          </w:rPr>
          <w:t xml:space="preserve">[2]</w:t>
        </w:r>
      </w:hyperlink>
      <w:r>
        <w:t xml:space="preserve">. Often, this requires writing custom scripts or using tools like Excel/MATLAB to identify where each transition occurs in the time-series.</w:t>
      </w:r>
    </w:p>
    <w:p>
      <w:pPr>
        <w:pStyle w:val="Compact"/>
        <w:numPr>
          <w:ilvl w:val="0"/>
          <w:numId w:val="1001"/>
        </w:numPr>
      </w:pPr>
      <w:r>
        <w:rPr>
          <w:b/>
          <w:bCs/>
        </w:rPr>
        <w:t xml:space="preserve">Calculating Transition Metrics:</w:t>
      </w:r>
      <w:r>
        <w:t xml:space="preserve"> </w:t>
      </w:r>
      <w:r>
        <w:t xml:space="preserve">For each transition, key performance indicators (KPIs) are computed to assess column integrity and separation efficiency. Common KPIs include Height Equivalent of a Theoretical Plate (HETP) and peak asymmetry</w:t>
      </w:r>
      <w:hyperlink r:id="rId24">
        <w:r>
          <w:rPr>
            <w:rStyle w:val="Hyperlink"/>
          </w:rPr>
          <w:t xml:space="preserve">[3]</w:t>
        </w:r>
      </w:hyperlink>
      <w:r>
        <w:t xml:space="preserve">. These require moment analysis and differential equations across the transition, which can be complex to implement manually</w:t>
      </w:r>
      <w:hyperlink r:id="rId25">
        <w:r>
          <w:rPr>
            <w:rStyle w:val="Hyperlink"/>
          </w:rPr>
          <w:t xml:space="preserve">[4]</w:t>
        </w:r>
      </w:hyperlink>
      <w:r>
        <w:t xml:space="preserve">. Additional metrics such as peak</w:t>
      </w:r>
      <w:r>
        <w:t xml:space="preserve"> </w:t>
      </w:r>
      <w:r>
        <w:rPr>
          <w:b/>
          <w:bCs/>
        </w:rPr>
        <w:t xml:space="preserve">TransWidth</w:t>
      </w:r>
      <w:r>
        <w:t xml:space="preserve"> </w:t>
      </w:r>
      <w:r>
        <w:t xml:space="preserve">or</w:t>
      </w:r>
      <w:r>
        <w:t xml:space="preserve"> </w:t>
      </w:r>
      <w:r>
        <w:rPr>
          <w:b/>
          <w:bCs/>
        </w:rPr>
        <w:t xml:space="preserve">DirectAf</w:t>
      </w:r>
      <w:r>
        <w:t xml:space="preserve"> </w:t>
      </w:r>
      <w:r>
        <w:t xml:space="preserve">(alternative measures of peak width and symmetry) might be calculated for more robustness to noise</w:t>
      </w:r>
      <w:hyperlink r:id="rId26">
        <w:r>
          <w:rPr>
            <w:rStyle w:val="Hyperlink"/>
          </w:rPr>
          <w:t xml:space="preserve">[5]</w:t>
        </w:r>
      </w:hyperlink>
      <w:r>
        <w:t xml:space="preserve">. The analyst often integrates peaks to compute yields or monitors retention times and peak shapes for anomalies.</w:t>
      </w:r>
    </w:p>
    <w:p>
      <w:pPr>
        <w:pStyle w:val="Compact"/>
        <w:numPr>
          <w:ilvl w:val="0"/>
          <w:numId w:val="1001"/>
        </w:numPr>
      </w:pPr>
      <w:r>
        <w:rPr>
          <w:b/>
          <w:bCs/>
        </w:rPr>
        <w:t xml:space="preserve">Result Compilation:</w:t>
      </w:r>
      <w:r>
        <w:t xml:space="preserve"> </w:t>
      </w:r>
      <w:r>
        <w:t xml:space="preserve">The calculated metrics (HETP values, asymmetry, peak width, etc.) are recorded, typically in spreadsheets or reports. Trends over multiple cycles or batches are charted to see if column performance is degrading. For example, increasing HETP or tailing factor over successive batches could indicate resin fouling or bed compression. This trending might be done manually by copying data into Excel charts, and repeated for each of the 50 columns.</w:t>
      </w:r>
    </w:p>
    <w:p>
      <w:pPr>
        <w:pStyle w:val="Compact"/>
        <w:numPr>
          <w:ilvl w:val="0"/>
          <w:numId w:val="1001"/>
        </w:numPr>
      </w:pPr>
      <w:r>
        <w:rPr>
          <w:b/>
          <w:bCs/>
        </w:rPr>
        <w:t xml:space="preserve">Review and Action:</w:t>
      </w:r>
      <w:r>
        <w:t xml:space="preserve"> </w:t>
      </w:r>
      <w:r>
        <w:t xml:space="preserve">The results are reviewed by process engineers or quality teams. If a KPI exceeds acceptable thresholds (e.g. asymmetry deviating beyond spec or HETP rising significantly), actions are taken</w:t>
      </w:r>
      <w:r>
        <w:t xml:space="preserve"> </w:t>
      </w:r>
      <w:r>
        <w:rPr>
          <w:i/>
          <w:iCs/>
        </w:rPr>
        <w:t xml:space="preserve">after the fact</w:t>
      </w:r>
      <w:r>
        <w:t xml:space="preserve">. This could include scheduling column cleaning or packing, investigating potential causes (resin degradation, channeling), or even discarding a batch if a failure was detected too late. However, since analysis is post-run, any serious issue (like a column failure) is often discovered only</w:t>
      </w:r>
      <w:r>
        <w:t xml:space="preserve"> </w:t>
      </w:r>
      <w:r>
        <w:rPr>
          <w:b/>
          <w:bCs/>
        </w:rPr>
        <w:t xml:space="preserve">after</w:t>
      </w:r>
      <w:r>
        <w:t xml:space="preserve"> </w:t>
      </w:r>
      <w:r>
        <w:t xml:space="preserve">the batch has been processed</w:t>
      </w:r>
      <w:hyperlink r:id="rId27">
        <w:r>
          <w:rPr>
            <w:rStyle w:val="Hyperlink"/>
          </w:rPr>
          <w:t xml:space="preserve">[6]</w:t>
        </w:r>
      </w:hyperlink>
      <w:r>
        <w:t xml:space="preserve">. At best, an investigation can prevent recurrence in future batches, but the affected batch might already be lost or compromised.</w:t>
      </w:r>
    </w:p>
    <w:p>
      <w:pPr>
        <w:pStyle w:val="FirstParagraph"/>
      </w:pPr>
      <w:r>
        <w:t xml:space="preserve">This end-of-run, file-based approach is</w:t>
      </w:r>
      <w:r>
        <w:t xml:space="preserve"> </w:t>
      </w:r>
      <w:r>
        <w:rPr>
          <w:b/>
          <w:bCs/>
        </w:rPr>
        <w:t xml:space="preserve">laborious and slow</w:t>
      </w:r>
      <w:r>
        <w:t xml:space="preserve">. Each cycle’s data extraction and analysis can take hours, and with dozens of units, analysts may spend a large portion of their week handling data instead of improving processes. In one industry case, just comparing chromatography peak data in Excel across batches consumed significant time, and engineers “were struggling with the incredibly time-consuming process” of manual analysis</w:t>
      </w:r>
      <w:hyperlink r:id="rId28">
        <w:r>
          <w:rPr>
            <w:rStyle w:val="Hyperlink"/>
          </w:rPr>
          <w:t xml:space="preserve">[7]</w:t>
        </w:r>
      </w:hyperlink>
      <w:r>
        <w:t xml:space="preserve">. Summing across operations, it’s not uncommon for teams to spend over 10 hours per week</w:t>
      </w:r>
      <w:r>
        <w:t xml:space="preserve"> </w:t>
      </w:r>
      <w:r>
        <w:rPr>
          <w:i/>
          <w:iCs/>
        </w:rPr>
        <w:t xml:space="preserve">per chromatography unit</w:t>
      </w:r>
      <w:r>
        <w:t xml:space="preserve"> </w:t>
      </w:r>
      <w:r>
        <w:t xml:space="preserve">just performing transition analyses manually</w:t>
      </w:r>
      <w:hyperlink r:id="rId29">
        <w:r>
          <w:rPr>
            <w:rStyle w:val="Hyperlink"/>
          </w:rPr>
          <w:t xml:space="preserve">[8]</w:t>
        </w:r>
      </w:hyperlink>
      <w:r>
        <w:t xml:space="preserve">. This manual workflow also introduces opportunities for error (copy-paste mistakes, inconsistent analysis methods) and delays feedback on problems.</w:t>
      </w:r>
    </w:p>
    <w:bookmarkEnd w:id="30"/>
    <w:bookmarkStart w:id="35" w:name="limitations-of-the-file-based-workflow"/>
    <w:p>
      <w:pPr>
        <w:pStyle w:val="Heading3"/>
      </w:pPr>
      <w:r>
        <w:t xml:space="preserve">1.2 Limitations of the File-Based Workflow</w:t>
      </w:r>
    </w:p>
    <w:p>
      <w:pPr>
        <w:pStyle w:val="FirstParagraph"/>
      </w:pPr>
      <w:r>
        <w:t xml:space="preserve">The current post-run process has several drawbacks:</w:t>
      </w:r>
    </w:p>
    <w:p>
      <w:pPr>
        <w:pStyle w:val="Compact"/>
        <w:numPr>
          <w:ilvl w:val="0"/>
          <w:numId w:val="1002"/>
        </w:numPr>
      </w:pPr>
      <w:r>
        <w:rPr>
          <w:b/>
          <w:bCs/>
        </w:rPr>
        <w:t xml:space="preserve">Delayed Insights:</w:t>
      </w:r>
      <w:r>
        <w:t xml:space="preserve"> </w:t>
      </w:r>
      <w:r>
        <w:t xml:space="preserve">Because calculations are done offline after runs, there is a significant delay between data generation and insight. Analyses “often result in excessive time to insight,” meaning operators only learn of column performance issues well after the batch is done</w:t>
      </w:r>
      <w:hyperlink r:id="rId27">
        <w:r>
          <w:rPr>
            <w:rStyle w:val="Hyperlink"/>
          </w:rPr>
          <w:t xml:space="preserve">[6]</w:t>
        </w:r>
      </w:hyperlink>
      <w:r>
        <w:t xml:space="preserve">. If a column was beginning to fail (e.g. resin capacity exhausted or a bed integrity issue), operators might not realize it until reviewing data days later – missing the chance to intervene during the run. This reactive paradigm means that</w:t>
      </w:r>
      <w:r>
        <w:t xml:space="preserve"> </w:t>
      </w:r>
      <w:r>
        <w:rPr>
          <w:b/>
          <w:bCs/>
        </w:rPr>
        <w:t xml:space="preserve">column failures are usually addressed after they happen</w:t>
      </w:r>
      <w:r>
        <w:t xml:space="preserve">, sometimes after a batch is already lost</w:t>
      </w:r>
      <w:hyperlink r:id="rId27">
        <w:r>
          <w:rPr>
            <w:rStyle w:val="Hyperlink"/>
          </w:rPr>
          <w:t xml:space="preserve">[6]</w:t>
        </w:r>
      </w:hyperlink>
      <w:r>
        <w:t xml:space="preserve">.</w:t>
      </w:r>
    </w:p>
    <w:p>
      <w:pPr>
        <w:pStyle w:val="Compact"/>
        <w:numPr>
          <w:ilvl w:val="0"/>
          <w:numId w:val="1002"/>
        </w:numPr>
      </w:pPr>
      <w:r>
        <w:rPr>
          <w:b/>
          <w:bCs/>
        </w:rPr>
        <w:t xml:space="preserve">Labor Intensive:</w:t>
      </w:r>
      <w:r>
        <w:t xml:space="preserve"> </w:t>
      </w:r>
      <w:r>
        <w:t xml:space="preserve">Each analysis is manual, requiring expert time. A use case reported that moving away from spreadsheet-based chromatography analysis saved</w:t>
      </w:r>
      <w:r>
        <w:t xml:space="preserve"> </w:t>
      </w:r>
      <w:r>
        <w:rPr>
          <w:i/>
          <w:iCs/>
        </w:rPr>
        <w:t xml:space="preserve">15 hours per week</w:t>
      </w:r>
      <w:r>
        <w:t xml:space="preserve"> </w:t>
      </w:r>
      <w:r>
        <w:t xml:space="preserve">of an engineer’s time that was previously spent doing these calculations</w:t>
      </w:r>
      <w:hyperlink r:id="rId31">
        <w:r>
          <w:rPr>
            <w:rStyle w:val="Hyperlink"/>
          </w:rPr>
          <w:t xml:space="preserve">[9]</w:t>
        </w:r>
      </w:hyperlink>
      <w:r>
        <w:t xml:space="preserve">. Another industry survey found up to</w:t>
      </w:r>
      <w:r>
        <w:t xml:space="preserve"> </w:t>
      </w:r>
      <w:r>
        <w:rPr>
          <w:i/>
          <w:iCs/>
        </w:rPr>
        <w:t xml:space="preserve">10 hours per week per unit</w:t>
      </w:r>
      <w:r>
        <w:t xml:space="preserve"> </w:t>
      </w:r>
      <w:r>
        <w:t xml:space="preserve">of effort was being spent on transition analysis calculations before automating the process</w:t>
      </w:r>
      <w:hyperlink r:id="rId29">
        <w:r>
          <w:rPr>
            <w:rStyle w:val="Hyperlink"/>
          </w:rPr>
          <w:t xml:space="preserve">[8]</w:t>
        </w:r>
      </w:hyperlink>
      <w:r>
        <w:t xml:space="preserve">. With 50 units, this could easily equate to hundreds of hours monthly across the team.</w:t>
      </w:r>
    </w:p>
    <w:p>
      <w:pPr>
        <w:pStyle w:val="Compact"/>
        <w:numPr>
          <w:ilvl w:val="0"/>
          <w:numId w:val="1002"/>
        </w:numPr>
      </w:pPr>
      <w:r>
        <w:rPr>
          <w:b/>
          <w:bCs/>
        </w:rPr>
        <w:t xml:space="preserve">Data Quality Challenges:</w:t>
      </w:r>
      <w:r>
        <w:t xml:space="preserve"> </w:t>
      </w:r>
      <w:r>
        <w:t xml:space="preserve">Transition analysis is sensitive to data frequency and quality. Many control systems/historians log data at infrequent intervals (with linear interpolation in between) which may miss the sharp changes during step transitions</w:t>
      </w:r>
      <w:hyperlink r:id="rId32">
        <w:r>
          <w:rPr>
            <w:rStyle w:val="Hyperlink"/>
          </w:rPr>
          <w:t xml:space="preserve">[10]</w:t>
        </w:r>
      </w:hyperlink>
      <w:r>
        <w:t xml:space="preserve">. Manually working around this may require configuring higher-frequency logging or special data exports. Also, without automated filtering, noise or spikes in raw data can lead to inaccurate KPIs (false failure alarms or missed issues)</w:t>
      </w:r>
      <w:hyperlink r:id="rId33">
        <w:r>
          <w:rPr>
            <w:rStyle w:val="Hyperlink"/>
          </w:rPr>
          <w:t xml:space="preserve">[11]</w:t>
        </w:r>
      </w:hyperlink>
      <w:r>
        <w:t xml:space="preserve">. Ensuring consistency in how each person cleans the data is difficult.</w:t>
      </w:r>
    </w:p>
    <w:p>
      <w:pPr>
        <w:pStyle w:val="Compact"/>
        <w:numPr>
          <w:ilvl w:val="0"/>
          <w:numId w:val="1002"/>
        </w:numPr>
      </w:pPr>
      <w:r>
        <w:rPr>
          <w:b/>
          <w:bCs/>
        </w:rPr>
        <w:t xml:space="preserve">Limited Real-Time Decision-Making:</w:t>
      </w:r>
      <w:r>
        <w:t xml:space="preserve"> </w:t>
      </w:r>
      <w:r>
        <w:t xml:space="preserve">Since results are obtained post-run, there is no opportunity to adjust the ongoing process. For instance, if a significant anomaly occurred during the load-to-elution transition (perhaps indicating the column is clogged), the batch proceeds without that knowledge. The team may only catch it later and realize the batch yield suffered or product quality was impacted. This lack of real-time feedback increases the risk of</w:t>
      </w:r>
      <w:r>
        <w:t xml:space="preserve"> </w:t>
      </w:r>
      <w:r>
        <w:rPr>
          <w:b/>
          <w:bCs/>
        </w:rPr>
        <w:t xml:space="preserve">batch failure or quality deviation</w:t>
      </w:r>
      <w:r>
        <w:t xml:space="preserve">. Indeed, delays in analysis and response can “result in missed column failures, leading to lost or reworked batches…millions of dollars in lost product”</w:t>
      </w:r>
      <w:hyperlink r:id="rId34">
        <w:r>
          <w:rPr>
            <w:rStyle w:val="Hyperlink"/>
          </w:rPr>
          <w:t xml:space="preserve">[12]</w:t>
        </w:r>
      </w:hyperlink>
      <w:r>
        <w:t xml:space="preserve">.</w:t>
      </w:r>
    </w:p>
    <w:p>
      <w:pPr>
        <w:pStyle w:val="Compact"/>
        <w:numPr>
          <w:ilvl w:val="0"/>
          <w:numId w:val="1002"/>
        </w:numPr>
      </w:pPr>
      <w:r>
        <w:rPr>
          <w:b/>
          <w:bCs/>
        </w:rPr>
        <w:t xml:space="preserve">Scaling Difficulties:</w:t>
      </w:r>
      <w:r>
        <w:t xml:space="preserve"> </w:t>
      </w:r>
      <w:r>
        <w:t xml:space="preserve">With dozens of columns that are</w:t>
      </w:r>
      <w:r>
        <w:t xml:space="preserve"> </w:t>
      </w:r>
      <w:r>
        <w:rPr>
          <w:i/>
          <w:iCs/>
        </w:rPr>
        <w:t xml:space="preserve">non-identical</w:t>
      </w:r>
      <w:r>
        <w:t xml:space="preserve"> </w:t>
      </w:r>
      <w:r>
        <w:t xml:space="preserve">(likely varying sizes or products), the complexity of managing separate data files and analyses multiplies. It’s challenging to aggregate results across equipment to see the bigger picture (for example, comparing all 50 columns’ performance). Any cross-site or cross-batch comparisons require additional manual collation. This fragmentation means potential insights (like one unit consistently performing worse) might be overlooked.</w:t>
      </w:r>
    </w:p>
    <w:p>
      <w:pPr>
        <w:pStyle w:val="FirstParagraph"/>
      </w:pPr>
      <w:r>
        <w:t xml:space="preserve">In summary, the file-based, end-of-run model for transition analysis is time-consuming, reactive, and prone to missed opportunities for improving performance. It served its purpose historically, but the growing scale (50 units streaming data per second) calls for a more automated and proactive solution.</w:t>
      </w:r>
    </w:p>
    <w:bookmarkEnd w:id="35"/>
    <w:bookmarkStart w:id="41" w:name="Xa3ec296fa55b6aecbe808640413b1bebf447def"/>
    <w:p>
      <w:pPr>
        <w:pStyle w:val="Heading3"/>
      </w:pPr>
      <w:r>
        <w:t xml:space="preserve">1.3 Streaming Real-Time Data to a Centralized Cloud Platform</w:t>
      </w:r>
    </w:p>
    <w:p>
      <w:pPr>
        <w:pStyle w:val="FirstParagraph"/>
      </w:pPr>
      <w:r>
        <w:t xml:space="preserve">The proposed solution is to feed real-time data streams from all 50 Protein A chromatography units into a centralized cloud analytics platform. Instead of waiting until a run finishes and then manually extracting data, each unit would continuously transmit its process data (e.g. UV, conductivity, pressure, flow)</w:t>
      </w:r>
      <w:r>
        <w:t xml:space="preserve"> </w:t>
      </w:r>
      <w:r>
        <w:rPr>
          <w:b/>
          <w:bCs/>
        </w:rPr>
        <w:t xml:space="preserve">at a per-second frequency</w:t>
      </w:r>
      <w:r>
        <w:t xml:space="preserve"> </w:t>
      </w:r>
      <w:r>
        <w:t xml:space="preserve">to the cloud during operation. This approach leverages Industrial IoT and process data historians integrated with cloud computing. Key aspects of the streaming/cloud-based system include:</w:t>
      </w:r>
    </w:p>
    <w:p>
      <w:pPr>
        <w:pStyle w:val="Compact"/>
        <w:numPr>
          <w:ilvl w:val="0"/>
          <w:numId w:val="1003"/>
        </w:numPr>
      </w:pPr>
      <w:r>
        <w:rPr>
          <w:b/>
          <w:bCs/>
        </w:rPr>
        <w:t xml:space="preserve">Continuous Data Ingestion:</w:t>
      </w:r>
      <w:r>
        <w:t xml:space="preserve"> </w:t>
      </w:r>
      <w:r>
        <w:t xml:space="preserve">Every second, each unit’s signals are pushed to the cloud, building a live data set. High-frequency capture ensures that the true shape of each transition is recorded (avoiding interpolation artifacts). For transition analysis, capturing rapid step changes with sufficient resolution is critical</w:t>
      </w:r>
      <w:hyperlink r:id="rId32">
        <w:r>
          <w:rPr>
            <w:rStyle w:val="Hyperlink"/>
          </w:rPr>
          <w:t xml:space="preserve">[10]</w:t>
        </w:r>
      </w:hyperlink>
      <w:r>
        <w:t xml:space="preserve">. A per-second stream (1 Hz) provides much more detail than typical 30-second or 1-minute logging, thereby improving the fidelity of HETP and asymmetry calculations.</w:t>
      </w:r>
    </w:p>
    <w:p>
      <w:pPr>
        <w:pStyle w:val="Compact"/>
        <w:numPr>
          <w:ilvl w:val="0"/>
          <w:numId w:val="1003"/>
        </w:numPr>
      </w:pPr>
      <w:r>
        <w:rPr>
          <w:b/>
          <w:bCs/>
        </w:rPr>
        <w:t xml:space="preserve">Automated Event Detection:</w:t>
      </w:r>
      <w:r>
        <w:t xml:space="preserve"> </w:t>
      </w:r>
      <w:r>
        <w:t xml:space="preserve">The cloud platform can employ algorithms to automatically recognize when a transition occurs. For example, it can monitor the conductivity or UV signal for the characteristic step-change pattern that marks the start and end of a chromatographic step</w:t>
      </w:r>
      <w:hyperlink r:id="rId36">
        <w:r>
          <w:rPr>
            <w:rStyle w:val="Hyperlink"/>
          </w:rPr>
          <w:t xml:space="preserve">[13]</w:t>
        </w:r>
      </w:hyperlink>
      <w:r>
        <w:t xml:space="preserve">. Once a transition is detected (e.g. the switch from load to wash phase), the system can automatically isolate that time segment for analysis. This removes the need for a person to manually mark transition boundaries for each run.</w:t>
      </w:r>
    </w:p>
    <w:p>
      <w:pPr>
        <w:pStyle w:val="Compact"/>
        <w:numPr>
          <w:ilvl w:val="0"/>
          <w:numId w:val="1003"/>
        </w:numPr>
      </w:pPr>
      <w:r>
        <w:rPr>
          <w:b/>
          <w:bCs/>
        </w:rPr>
        <w:t xml:space="preserve">In-Line Data Cleansing and Analysis:</w:t>
      </w:r>
      <w:r>
        <w:t xml:space="preserve"> </w:t>
      </w:r>
      <w:r>
        <w:t xml:space="preserve">As data stream in, the platform applies pre-configured filters and calculations in real time. Noise-reduction filters (such as Loess or agile filters) smooth the conductivity curves to precisely capture the transition shape</w:t>
      </w:r>
      <w:hyperlink r:id="rId37">
        <w:r>
          <w:rPr>
            <w:rStyle w:val="Hyperlink"/>
          </w:rPr>
          <w:t xml:space="preserve">[14]</w:t>
        </w:r>
      </w:hyperlink>
      <w:r>
        <w:t xml:space="preserve">. Outlier removal routines discard erroneous spikes (for instance, readings when a sensor isn’t properly engaged)</w:t>
      </w:r>
      <w:hyperlink r:id="rId23">
        <w:r>
          <w:rPr>
            <w:rStyle w:val="Hyperlink"/>
          </w:rPr>
          <w:t xml:space="preserve">[15]</w:t>
        </w:r>
      </w:hyperlink>
      <w:r>
        <w:t xml:space="preserve">. Immediately after each transition completes, the system calculates the transition KPIs (HETP via moment analysis, asymmetry from the peak shape, TransWidth, DirectAf, etc.) using validated formulas</w:t>
      </w:r>
      <w:hyperlink r:id="rId38">
        <w:r>
          <w:rPr>
            <w:rStyle w:val="Hyperlink"/>
          </w:rPr>
          <w:t xml:space="preserve">[16]</w:t>
        </w:r>
      </w:hyperlink>
      <w:r>
        <w:t xml:space="preserve">. Essentially, the kinds of complex calculations formerly done in spreadsheets or scripts are now executed by the cloud software in milliseconds once data for a transition is available.</w:t>
      </w:r>
    </w:p>
    <w:p>
      <w:pPr>
        <w:pStyle w:val="Compact"/>
        <w:numPr>
          <w:ilvl w:val="0"/>
          <w:numId w:val="1003"/>
        </w:numPr>
      </w:pPr>
      <w:r>
        <w:rPr>
          <w:b/>
          <w:bCs/>
        </w:rPr>
        <w:t xml:space="preserve">Live Dashboards and Alerts:</w:t>
      </w:r>
      <w:r>
        <w:t xml:space="preserve"> </w:t>
      </w:r>
      <w:r>
        <w:t xml:space="preserve">The results of the transition analysis are displayed on dashboards accessible to all stakeholders (engineering, operations, quality) in near real-time. As each chromatography cycle finishes, the column’s performance metrics update automatically on a central chart</w:t>
      </w:r>
      <w:hyperlink r:id="rId39">
        <w:r>
          <w:rPr>
            <w:rStyle w:val="Hyperlink"/>
          </w:rPr>
          <w:t xml:space="preserve">[17]</w:t>
        </w:r>
      </w:hyperlink>
      <w:hyperlink r:id="rId40">
        <w:r>
          <w:rPr>
            <w:rStyle w:val="Hyperlink"/>
          </w:rPr>
          <w:t xml:space="preserve">[18]</w:t>
        </w:r>
      </w:hyperlink>
      <w:r>
        <w:t xml:space="preserve">. If any KPI exceeds predefined thresholds, the system can generate an alert (e.g. flagging a column that might be failing) and notify personnel immediately. These dashboards can be customized to compare performance across columns, across batches, or across sites. Because the data from all 50 units resides in one platform, it’s straightforward to create an overview of</w:t>
      </w:r>
      <w:r>
        <w:t xml:space="preserve"> </w:t>
      </w:r>
      <w:r>
        <w:rPr>
          <w:i/>
          <w:iCs/>
        </w:rPr>
        <w:t xml:space="preserve">all columns’ health at a glance</w:t>
      </w:r>
      <w:r>
        <w:t xml:space="preserve"> </w:t>
      </w:r>
      <w:r>
        <w:t xml:space="preserve">– something nearly impossible with isolated file-based analyses.</w:t>
      </w:r>
    </w:p>
    <w:p>
      <w:pPr>
        <w:pStyle w:val="Compact"/>
        <w:numPr>
          <w:ilvl w:val="0"/>
          <w:numId w:val="1003"/>
        </w:numPr>
      </w:pPr>
      <w:r>
        <w:rPr>
          <w:b/>
          <w:bCs/>
        </w:rPr>
        <w:t xml:space="preserve">Cloud-Based Centralization:</w:t>
      </w:r>
      <w:r>
        <w:t xml:space="preserve"> </w:t>
      </w:r>
      <w:r>
        <w:t xml:space="preserve">Using a cloud platform means that computing resources scale with the data. Handling 50 simultaneous data streams (per-second) and performing analytics on each is a big data challenge; a cloud infrastructure can elastically manage this load. It also ensures that all users are looking at the same up-to-date information (single source of truth), eliminating version control issues of files. Moreover, historical data from hundreds of past batches can be stored and readily queried for trends without manual digging through file archives.</w:t>
      </w:r>
    </w:p>
    <w:p>
      <w:pPr>
        <w:pStyle w:val="FirstParagraph"/>
      </w:pPr>
      <w:r>
        <w:t xml:space="preserve">In essence, the cloud approach transforms transition analysis into an</w:t>
      </w:r>
      <w:r>
        <w:t xml:space="preserve"> </w:t>
      </w:r>
      <w:r>
        <w:rPr>
          <w:i/>
          <w:iCs/>
        </w:rPr>
        <w:t xml:space="preserve">ongoing, proactive monitoring</w:t>
      </w:r>
      <w:r>
        <w:t xml:space="preserve"> </w:t>
      </w:r>
      <w:r>
        <w:t xml:space="preserve">activity rather than a retrospective one. Every chromatographic transition on every unit is evaluated as it happens, and any deviations are caught immediately. There is no need for analysts to laboriously extract and compute – their role shifts to supervising the system and responding to the insights it surfaces.</w:t>
      </w:r>
    </w:p>
    <w:bookmarkEnd w:id="41"/>
    <w:bookmarkStart w:id="49" w:name="Xe32c85458809c827990c857342b63c4de6d2b25"/>
    <w:p>
      <w:pPr>
        <w:pStyle w:val="Heading3"/>
      </w:pPr>
      <w:r>
        <w:t xml:space="preserve">1.4 Benefits of Real-Time Transition Analysis</w:t>
      </w:r>
    </w:p>
    <w:p>
      <w:pPr>
        <w:pStyle w:val="FirstParagraph"/>
      </w:pPr>
      <w:r>
        <w:t xml:space="preserve">Moving to a centralized, streaming analytics platform for chromatography offers significant</w:t>
      </w:r>
      <w:r>
        <w:t xml:space="preserve"> </w:t>
      </w:r>
      <w:r>
        <w:rPr>
          <w:b/>
          <w:bCs/>
        </w:rPr>
        <w:t xml:space="preserve">cost, efficiency, and quality</w:t>
      </w:r>
      <w:r>
        <w:t xml:space="preserve"> </w:t>
      </w:r>
      <w:r>
        <w:t xml:space="preserve">advantages:</w:t>
      </w:r>
    </w:p>
    <w:p>
      <w:pPr>
        <w:pStyle w:val="Compact"/>
        <w:numPr>
          <w:ilvl w:val="0"/>
          <w:numId w:val="1004"/>
        </w:numPr>
      </w:pPr>
      <w:r>
        <w:rPr>
          <w:b/>
          <w:bCs/>
        </w:rPr>
        <w:t xml:space="preserve">Dramatic Labor and Time Savings:</w:t>
      </w:r>
      <w:r>
        <w:t xml:space="preserve"> </w:t>
      </w:r>
      <w:r>
        <w:t xml:space="preserve">Automating the data processing and calculations eliminates the bulk of manual work. Case studies have shown that implementing real-time analytics for chromatography can save on the order of 10–15 hours per week of analyst time that was previously spent on post-run data crunching</w:t>
      </w:r>
      <w:hyperlink r:id="rId31">
        <w:r>
          <w:rPr>
            <w:rStyle w:val="Hyperlink"/>
          </w:rPr>
          <w:t xml:space="preserve">[9]</w:t>
        </w:r>
      </w:hyperlink>
      <w:hyperlink r:id="rId29">
        <w:r>
          <w:rPr>
            <w:rStyle w:val="Hyperlink"/>
          </w:rPr>
          <w:t xml:space="preserve">[8]</w:t>
        </w:r>
      </w:hyperlink>
      <w:r>
        <w:t xml:space="preserve">. For example, one company reported that creating auto-updating chromatography dashboards saved an</w:t>
      </w:r>
      <w:r>
        <w:t xml:space="preserve"> </w:t>
      </w:r>
      <w:r>
        <w:rPr>
          <w:b/>
          <w:bCs/>
        </w:rPr>
        <w:t xml:space="preserve">average of 15 hours per week</w:t>
      </w:r>
      <w:r>
        <w:t xml:space="preserve"> </w:t>
      </w:r>
      <w:r>
        <w:t xml:space="preserve">in peak integration and analysis tasks</w:t>
      </w:r>
      <w:hyperlink r:id="rId31">
        <w:r>
          <w:rPr>
            <w:rStyle w:val="Hyperlink"/>
          </w:rPr>
          <w:t xml:space="preserve">[9]</w:t>
        </w:r>
      </w:hyperlink>
      <w:r>
        <w:t xml:space="preserve">. Another observed</w:t>
      </w:r>
      <w:r>
        <w:t xml:space="preserve"> </w:t>
      </w:r>
      <w:r>
        <w:rPr>
          <w:b/>
          <w:bCs/>
        </w:rPr>
        <w:t xml:space="preserve">up to 10 hours/week per unit</w:t>
      </w:r>
      <w:r>
        <w:t xml:space="preserve"> </w:t>
      </w:r>
      <w:r>
        <w:t xml:space="preserve">saved in transition analysis efforts after deploying online analytics</w:t>
      </w:r>
      <w:hyperlink r:id="rId29">
        <w:r>
          <w:rPr>
            <w:rStyle w:val="Hyperlink"/>
          </w:rPr>
          <w:t xml:space="preserve">[8]</w:t>
        </w:r>
      </w:hyperlink>
      <w:r>
        <w:t xml:space="preserve">. Across 50 units, this suggests dozens of hours of labor freed up every week – equivalent to several full-time employees who can be re-deployed to more value-added activities. The real-time system also compresses the analysis cycle from hours (or days) to seconds, accelerating the pace of process understanding. This means engineers get answers immediately rather than waiting until the next day or week to compile reports.</w:t>
      </w:r>
    </w:p>
    <w:p>
      <w:pPr>
        <w:pStyle w:val="Compact"/>
        <w:numPr>
          <w:ilvl w:val="0"/>
          <w:numId w:val="1004"/>
        </w:numPr>
      </w:pPr>
      <w:r>
        <w:rPr>
          <w:b/>
          <w:bCs/>
        </w:rPr>
        <w:t xml:space="preserve">Faster Detection and Response:</w:t>
      </w:r>
      <w:r>
        <w:t xml:space="preserve"> </w:t>
      </w:r>
      <w:r>
        <w:t xml:space="preserve">With continuous monitoring, any column performance issue is identified</w:t>
      </w:r>
      <w:r>
        <w:t xml:space="preserve"> </w:t>
      </w:r>
      <w:r>
        <w:rPr>
          <w:b/>
          <w:bCs/>
        </w:rPr>
        <w:t xml:space="preserve">during the run</w:t>
      </w:r>
      <w:r>
        <w:t xml:space="preserve"> </w:t>
      </w:r>
      <w:r>
        <w:t xml:space="preserve">(or at least immediately after a cycle) instead of long after. The moment a KPI like HETP exceeds its threshold or a peak shape looks abnormal, an alert can be raised. This enables much faster decision-making – for instance, operators might pause the process to inspect the column, or switch to a parallel column if available, to avoid a failure. In traditional setups, a column packing issue might go unnoticed until the batch fails QC; with real-time analytics, the team can catch the early warning signs and take corrective action</w:t>
      </w:r>
      <w:r>
        <w:t xml:space="preserve"> </w:t>
      </w:r>
      <w:r>
        <w:rPr>
          <w:i/>
          <w:iCs/>
        </w:rPr>
        <w:t xml:space="preserve">before</w:t>
      </w:r>
      <w:r>
        <w:t xml:space="preserve"> </w:t>
      </w:r>
      <w:r>
        <w:t xml:space="preserve">the batch is lost</w:t>
      </w:r>
      <w:hyperlink r:id="rId42">
        <w:r>
          <w:rPr>
            <w:rStyle w:val="Hyperlink"/>
          </w:rPr>
          <w:t xml:space="preserve">[19]</w:t>
        </w:r>
      </w:hyperlink>
      <w:r>
        <w:t xml:space="preserve">. Such immediate access to results is a key benefit: “performing calculations automatically as new data are collected” and visualizing them live means no lag between data and insight</w:t>
      </w:r>
      <w:hyperlink r:id="rId43">
        <w:r>
          <w:rPr>
            <w:rStyle w:val="Hyperlink"/>
          </w:rPr>
          <w:t xml:space="preserve">[20]</w:t>
        </w:r>
      </w:hyperlink>
      <w:r>
        <w:t xml:space="preserve">. Ultimately, this</w:t>
      </w:r>
      <w:r>
        <w:t xml:space="preserve"> </w:t>
      </w:r>
      <w:r>
        <w:rPr>
          <w:b/>
          <w:bCs/>
        </w:rPr>
        <w:t xml:space="preserve">proactive monitoring</w:t>
      </w:r>
      <w:r>
        <w:t xml:space="preserve"> </w:t>
      </w:r>
      <w:r>
        <w:t xml:space="preserve">helps shift from reacting to problems to preventing them.</w:t>
      </w:r>
    </w:p>
    <w:p>
      <w:pPr>
        <w:pStyle w:val="Compact"/>
        <w:numPr>
          <w:ilvl w:val="0"/>
          <w:numId w:val="1004"/>
        </w:numPr>
      </w:pPr>
      <w:r>
        <w:rPr>
          <w:b/>
          <w:bCs/>
        </w:rPr>
        <w:t xml:space="preserve">Reduced Risk of Batch Failure and Lost Product:</w:t>
      </w:r>
      <w:r>
        <w:t xml:space="preserve"> </w:t>
      </w:r>
      <w:r>
        <w:t xml:space="preserve">Perhaps the most significant value comes from avoiding batch failures. Protein A columns are expensive and their failure can contaminate or reduce the yield of an entire batch. Real-time transition analysis acts as a form of predictive maintenance for columns. By trending integrity metrics cycle over cycle, the system can forecast when a column is approaching failure and prompt a preemptive column replacement or resin regeneration</w:t>
      </w:r>
      <w:hyperlink r:id="rId44">
        <w:r>
          <w:rPr>
            <w:rStyle w:val="Hyperlink"/>
          </w:rPr>
          <w:t xml:space="preserve">[21]</w:t>
        </w:r>
      </w:hyperlink>
      <w:hyperlink r:id="rId45">
        <w:r>
          <w:rPr>
            <w:rStyle w:val="Hyperlink"/>
          </w:rPr>
          <w:t xml:space="preserve">[22]</w:t>
        </w:r>
      </w:hyperlink>
      <w:r>
        <w:t xml:space="preserve">. Pharmaceutical companies using such analytics have been able to “predict HETP and asymmetry values” ahead of time and schedule maintenance</w:t>
      </w:r>
      <w:r>
        <w:t xml:space="preserve"> </w:t>
      </w:r>
      <w:r>
        <w:rPr>
          <w:b/>
          <w:bCs/>
        </w:rPr>
        <w:t xml:space="preserve">prior to column failure</w:t>
      </w:r>
      <w:r>
        <w:t xml:space="preserve">, thus</w:t>
      </w:r>
      <w:r>
        <w:t xml:space="preserve"> </w:t>
      </w:r>
      <w:r>
        <w:rPr>
          <w:b/>
          <w:bCs/>
        </w:rPr>
        <w:t xml:space="preserve">preventing unplanned downtime</w:t>
      </w:r>
      <w:r>
        <w:t xml:space="preserve"> </w:t>
      </w:r>
      <w:r>
        <w:t xml:space="preserve">and batch loss</w:t>
      </w:r>
      <w:hyperlink r:id="rId45">
        <w:r>
          <w:rPr>
            <w:rStyle w:val="Hyperlink"/>
          </w:rPr>
          <w:t xml:space="preserve">[22]</w:t>
        </w:r>
      </w:hyperlink>
      <w:r>
        <w:t xml:space="preserve">. Industry reports note that avoiding even a single lost batch can save</w:t>
      </w:r>
      <w:r>
        <w:t xml:space="preserve"> </w:t>
      </w:r>
      <w:r>
        <w:rPr>
          <w:b/>
          <w:bCs/>
        </w:rPr>
        <w:t xml:space="preserve">millions of dollars</w:t>
      </w:r>
      <w:r>
        <w:t xml:space="preserve"> </w:t>
      </w:r>
      <w:r>
        <w:t xml:space="preserve">in valuable product</w:t>
      </w:r>
      <w:hyperlink r:id="rId31">
        <w:r>
          <w:rPr>
            <w:rStyle w:val="Hyperlink"/>
          </w:rPr>
          <w:t xml:space="preserve">[9]</w:t>
        </w:r>
      </w:hyperlink>
      <w:r>
        <w:t xml:space="preserve">. If the streaming approach saves “multiple batches each year” from failure, as one case suggests, the financial impact is enormous</w:t>
      </w:r>
      <w:hyperlink r:id="rId31">
        <w:r>
          <w:rPr>
            <w:rStyle w:val="Hyperlink"/>
          </w:rPr>
          <w:t xml:space="preserve">[9]</w:t>
        </w:r>
      </w:hyperlink>
      <w:r>
        <w:t xml:space="preserve">. Even aside from complete failures, early detection of degradation avoids batches having suboptimal quality (e.g. high impurities due to a degrading column), thereby maintaining higher compliance and yield.</w:t>
      </w:r>
    </w:p>
    <w:p>
      <w:pPr>
        <w:pStyle w:val="Compact"/>
        <w:numPr>
          <w:ilvl w:val="0"/>
          <w:numId w:val="1004"/>
        </w:numPr>
      </w:pPr>
      <w:r>
        <w:rPr>
          <w:b/>
          <w:bCs/>
        </w:rPr>
        <w:t xml:space="preserve">Efficiency Gains and Throughput:</w:t>
      </w:r>
      <w:r>
        <w:t xml:space="preserve"> </w:t>
      </w:r>
      <w:r>
        <w:t xml:space="preserve">Real-time data eliminates the need for separate integrity test runs or downtime for extra column checks. Traditionally, to test column integrity, manufacturers might do periodic HETP tests (injecting test pulses, etc.), which take time and halt production. With in-process monitoring, integrity is verified</w:t>
      </w:r>
      <w:r>
        <w:t xml:space="preserve"> </w:t>
      </w:r>
      <w:r>
        <w:rPr>
          <w:i/>
          <w:iCs/>
        </w:rPr>
        <w:t xml:space="preserve">during normal production cycles</w:t>
      </w:r>
      <w:r>
        <w:t xml:space="preserve"> </w:t>
      </w:r>
      <w:r>
        <w:t xml:space="preserve">using the process data itself</w:t>
      </w:r>
      <w:hyperlink r:id="rId46">
        <w:r>
          <w:rPr>
            <w:rStyle w:val="Hyperlink"/>
          </w:rPr>
          <w:t xml:space="preserve">[23]</w:t>
        </w:r>
      </w:hyperlink>
      <w:r>
        <w:t xml:space="preserve">. This</w:t>
      </w:r>
      <w:r>
        <w:t xml:space="preserve"> </w:t>
      </w:r>
      <w:r>
        <w:rPr>
          <w:b/>
          <w:bCs/>
        </w:rPr>
        <w:t xml:space="preserve">eliminates extra downtime or labor</w:t>
      </w:r>
      <w:r>
        <w:t xml:space="preserve"> </w:t>
      </w:r>
      <w:r>
        <w:t xml:space="preserve">for separate tests</w:t>
      </w:r>
      <w:hyperlink r:id="rId46">
        <w:r>
          <w:rPr>
            <w:rStyle w:val="Hyperlink"/>
          </w:rPr>
          <w:t xml:space="preserve">[23]</w:t>
        </w:r>
      </w:hyperlink>
      <w:r>
        <w:t xml:space="preserve">. Additionally, the improved scheduling of column maintenance means fewer unexpected process halts. Overall equipment effectiveness (OEE) improves because columns are replaced or cleaned exactly when needed (as indicated by data), not too early (wasting resin life) and not too late (causing failures).</w:t>
      </w:r>
    </w:p>
    <w:p>
      <w:pPr>
        <w:pStyle w:val="Compact"/>
        <w:numPr>
          <w:ilvl w:val="0"/>
          <w:numId w:val="1004"/>
        </w:numPr>
      </w:pPr>
      <w:r>
        <w:rPr>
          <w:b/>
          <w:bCs/>
        </w:rPr>
        <w:t xml:space="preserve">Quality and Compliance Improvements:</w:t>
      </w:r>
      <w:r>
        <w:t xml:space="preserve"> </w:t>
      </w:r>
      <w:r>
        <w:t xml:space="preserve">Continuous monitoring of each cycle ensures that any drift in performance is caught and addressed, leading to more consistent purification performance. It provides a complete data record for each batch’s purification with analysis, which is useful for regulatory audits and ongoing validation. An advanced monitoring system upholds “the highest standards of quality, consistency, and regulatory compliance” by safeguarding column performance throughout manufacturing</w:t>
      </w:r>
      <w:hyperlink r:id="rId47">
        <w:r>
          <w:rPr>
            <w:rStyle w:val="Hyperlink"/>
          </w:rPr>
          <w:t xml:space="preserve">[24]</w:t>
        </w:r>
      </w:hyperlink>
      <w:r>
        <w:t xml:space="preserve">. Early identification of issues like peak tailing or channeling means corrective actions can be taken before product quality is impacted (for example, addressing a packing issue before it causes high aggregate levels in the product). In essence, product quality risks are reduced.</w:t>
      </w:r>
    </w:p>
    <w:p>
      <w:pPr>
        <w:pStyle w:val="Compact"/>
        <w:numPr>
          <w:ilvl w:val="0"/>
          <w:numId w:val="1004"/>
        </w:numPr>
      </w:pPr>
      <w:r>
        <w:rPr>
          <w:b/>
          <w:bCs/>
        </w:rPr>
        <w:t xml:space="preserve">Cross-Unit and Multi-Batch Insight:</w:t>
      </w:r>
      <w:r>
        <w:t xml:space="preserve"> </w:t>
      </w:r>
      <w:r>
        <w:t xml:space="preserve">With all data centralized, the organization can perform</w:t>
      </w:r>
      <w:r>
        <w:t xml:space="preserve"> </w:t>
      </w:r>
      <w:r>
        <w:rPr>
          <w:b/>
          <w:bCs/>
        </w:rPr>
        <w:t xml:space="preserve">comparative analytics</w:t>
      </w:r>
      <w:r>
        <w:t xml:space="preserve"> </w:t>
      </w:r>
      <w:r>
        <w:t xml:space="preserve">across the 50 chromatography units and across batches. This may reveal, for instance, that certain columns (or certain products) have systematically shorter lifetimes or always show slightly higher HETP. Such insights can drive process improvements (e.g. better packing procedures or resin selection). The cloud platform enables easy sharing of results “throughout the organization” via dashboards</w:t>
      </w:r>
      <w:hyperlink r:id="rId48">
        <w:r>
          <w:rPr>
            <w:rStyle w:val="Hyperlink"/>
          </w:rPr>
          <w:t xml:space="preserve">[25]</w:t>
        </w:r>
      </w:hyperlink>
      <w:r>
        <w:t xml:space="preserve"> </w:t>
      </w:r>
      <w:r>
        <w:t xml:space="preserve">– breaking down silos between departments or sites. In daily meetings, teams can review up-to-date chromatography performance and make informed decisions quickly</w:t>
      </w:r>
      <w:hyperlink r:id="rId40">
        <w:r>
          <w:rPr>
            <w:rStyle w:val="Hyperlink"/>
          </w:rPr>
          <w:t xml:space="preserve">[18]</w:t>
        </w:r>
      </w:hyperlink>
      <w:r>
        <w:t xml:space="preserve">. The data can also feed into continued process verification efforts and process optimization studies, since it’s readily accessible and organized.</w:t>
      </w:r>
    </w:p>
    <w:p>
      <w:pPr>
        <w:pStyle w:val="FirstParagraph"/>
      </w:pPr>
      <w:r>
        <w:rPr>
          <w:b/>
          <w:bCs/>
        </w:rPr>
        <w:t xml:space="preserve">Table 1</w:t>
      </w:r>
      <w:r>
        <w:t xml:space="preserve"> </w:t>
      </w:r>
      <w:r>
        <w:t xml:space="preserve">summarizes the key differences between the traditional file-based approach and the new real-time cloud-based approach for chromatography transition analysis, highlighting the improvements: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Aspect</w:t>
            </w:r>
          </w:p>
        </w:tc>
        <w:tc>
          <w:tcPr/>
          <w:p>
            <w:pPr>
              <w:pStyle w:val="Compact"/>
            </w:pPr>
            <w:r>
              <w:rPr>
                <w:b/>
                <w:bCs/>
              </w:rPr>
              <w:t xml:space="preserve">End-of-Run File-Based Analysis</w:t>
            </w:r>
          </w:p>
        </w:tc>
        <w:tc>
          <w:tcPr/>
          <w:p>
            <w:pPr>
              <w:pStyle w:val="Compact"/>
            </w:pPr>
            <w:r>
              <w:rPr>
                <w:b/>
                <w:bCs/>
              </w:rPr>
              <w:t xml:space="preserve">Real-Time Cloud-Based Analysis</w:t>
            </w:r>
          </w:p>
        </w:tc>
      </w:tr>
      <w:tr>
        <w:tc>
          <w:tcPr/>
          <w:p>
            <w:pPr>
              <w:pStyle w:val="Compact"/>
            </w:pPr>
            <w:r>
              <w:rPr>
                <w:b/>
                <w:bCs/>
              </w:rPr>
              <w:t xml:space="preserve">Data Capture Frequency</w:t>
            </w:r>
          </w:p>
        </w:tc>
        <w:tc>
          <w:tcPr/>
          <w:p>
            <w:pPr>
              <w:pStyle w:val="Compact"/>
            </w:pPr>
            <w:r>
              <w:t xml:space="preserve">Infrequent logging; data exported after run completion.</w:t>
            </w:r>
          </w:p>
        </w:tc>
        <w:tc>
          <w:tcPr/>
          <w:p>
            <w:pPr>
              <w:pStyle w:val="Compact"/>
            </w:pPr>
            <w:r>
              <w:t xml:space="preserve">Continuous streaming at 1 Hz during the run.</w:t>
            </w:r>
          </w:p>
        </w:tc>
      </w:tr>
      <w:tr>
        <w:tc>
          <w:tcPr/>
          <w:p>
            <w:pPr>
              <w:pStyle w:val="Compact"/>
            </w:pPr>
            <w:r>
              <w:rPr>
                <w:b/>
                <w:bCs/>
              </w:rPr>
              <w:t xml:space="preserve">Analysis Timing</w:t>
            </w:r>
          </w:p>
        </w:tc>
        <w:tc>
          <w:tcPr/>
          <w:p>
            <w:pPr>
              <w:pStyle w:val="Compact"/>
            </w:pPr>
            <w:r>
              <w:t xml:space="preserve">Post-run, often hours or next-day; results delayed.</w:t>
            </w:r>
          </w:p>
        </w:tc>
        <w:tc>
          <w:tcPr/>
          <w:p>
            <w:pPr>
              <w:pStyle w:val="Compact"/>
            </w:pPr>
            <w:r>
              <w:t xml:space="preserve">In-line, per transition; results available immediately.</w:t>
            </w:r>
          </w:p>
        </w:tc>
      </w:tr>
      <w:tr>
        <w:tc>
          <w:tcPr/>
          <w:p>
            <w:pPr>
              <w:pStyle w:val="Compact"/>
            </w:pPr>
            <w:r>
              <w:rPr>
                <w:b/>
                <w:bCs/>
              </w:rPr>
              <w:t xml:space="preserve">Labor Effort</w:t>
            </w:r>
          </w:p>
        </w:tc>
        <w:tc>
          <w:tcPr/>
          <w:p>
            <w:pPr>
              <w:pStyle w:val="Compact"/>
            </w:pPr>
            <w:r>
              <w:t xml:space="preserve">High manual effort (multiple hours per run for data extraction, cleaning, plotting). &lt;br&gt;</w:t>
            </w:r>
            <w:r>
              <w:rPr>
                <w:i/>
                <w:iCs/>
              </w:rPr>
              <w:t xml:space="preserve">(~10–15 hours/week spent on analysis)</w:t>
            </w:r>
            <w:hyperlink r:id="rId31">
              <w:r>
                <w:rPr>
                  <w:rStyle w:val="Hyperlink"/>
                </w:rPr>
                <w:t xml:space="preserve">[9]</w:t>
              </w:r>
            </w:hyperlink>
            <w:hyperlink r:id="rId29">
              <w:r>
                <w:rPr>
                  <w:rStyle w:val="Hyperlink"/>
                </w:rPr>
                <w:t xml:space="preserve">[8]</w:t>
              </w:r>
            </w:hyperlink>
          </w:p>
        </w:tc>
        <w:tc>
          <w:tcPr/>
          <w:p>
            <w:pPr>
              <w:pStyle w:val="Compact"/>
            </w:pPr>
            <w:r>
              <w:t xml:space="preserve">Minimal manual effort (automated pipelines handle data and calculations). &lt;br&gt;</w:t>
            </w:r>
            <w:r>
              <w:rPr>
                <w:i/>
                <w:iCs/>
              </w:rPr>
              <w:t xml:space="preserve">Engineers save double-digit hours weekly.</w:t>
            </w:r>
          </w:p>
        </w:tc>
      </w:tr>
      <w:tr>
        <w:tc>
          <w:tcPr/>
          <w:p>
            <w:pPr>
              <w:pStyle w:val="Compact"/>
            </w:pPr>
            <w:r>
              <w:rPr>
                <w:b/>
                <w:bCs/>
              </w:rPr>
              <w:t xml:space="preserve">Issue Detection</w:t>
            </w:r>
          </w:p>
        </w:tc>
        <w:tc>
          <w:tcPr/>
          <w:p>
            <w:pPr>
              <w:pStyle w:val="Compact"/>
            </w:pPr>
            <w:r>
              <w:t xml:space="preserve">Reactive – issues found after the fact (risk of missed or late detection).</w:t>
            </w:r>
          </w:p>
        </w:tc>
        <w:tc>
          <w:tcPr/>
          <w:p>
            <w:pPr>
              <w:pStyle w:val="Compact"/>
            </w:pPr>
            <w:r>
              <w:t xml:space="preserve">Proactive – anomalies trigger alerts during the process, enabling on-the-fly intervention.</w:t>
            </w:r>
          </w:p>
        </w:tc>
      </w:tr>
      <w:tr>
        <w:tc>
          <w:tcPr/>
          <w:p>
            <w:pPr>
              <w:pStyle w:val="Compact"/>
            </w:pPr>
            <w:r>
              <w:rPr>
                <w:b/>
                <w:bCs/>
              </w:rPr>
              <w:t xml:space="preserve">Batch Failure Risk</w:t>
            </w:r>
          </w:p>
        </w:tc>
        <w:tc>
          <w:tcPr/>
          <w:p>
            <w:pPr>
              <w:pStyle w:val="Compact"/>
            </w:pPr>
            <w:r>
              <w:t xml:space="preserve">Higher – potential column failures caught only after causing batch loss. &lt;br&gt;</w:t>
            </w:r>
            <w:r>
              <w:rPr>
                <w:i/>
                <w:iCs/>
              </w:rPr>
              <w:t xml:space="preserve">Lost batches costing millions can occur.</w:t>
            </w:r>
            <w:hyperlink r:id="rId34">
              <w:r>
                <w:rPr>
                  <w:rStyle w:val="Hyperlink"/>
                </w:rPr>
                <w:t xml:space="preserve">[12]</w:t>
              </w:r>
            </w:hyperlink>
            <w:hyperlink r:id="rId31">
              <w:r>
                <w:rPr>
                  <w:rStyle w:val="Hyperlink"/>
                </w:rPr>
                <w:t xml:space="preserve">[9]</w:t>
              </w:r>
            </w:hyperlink>
          </w:p>
        </w:tc>
        <w:tc>
          <w:tcPr/>
          <w:p>
            <w:pPr>
              <w:pStyle w:val="Compact"/>
            </w:pPr>
            <w:r>
              <w:t xml:space="preserve">Lower – predictive monitoring prompts maintenance</w:t>
            </w:r>
            <w:r>
              <w:t xml:space="preserve"> </w:t>
            </w:r>
            <w:r>
              <w:rPr>
                <w:b/>
                <w:bCs/>
              </w:rPr>
              <w:t xml:space="preserve">before</w:t>
            </w:r>
            <w:r>
              <w:t xml:space="preserve"> </w:t>
            </w:r>
            <w:r>
              <w:t xml:space="preserve">failure, avoiding lost batches and costly deviations</w:t>
            </w:r>
            <w:hyperlink r:id="rId42">
              <w:r>
                <w:rPr>
                  <w:rStyle w:val="Hyperlink"/>
                </w:rPr>
                <w:t xml:space="preserve">[19]</w:t>
              </w:r>
            </w:hyperlink>
            <w:r>
              <w:t xml:space="preserve">.</w:t>
            </w:r>
          </w:p>
        </w:tc>
      </w:tr>
      <w:tr>
        <w:tc>
          <w:tcPr/>
          <w:p>
            <w:pPr>
              <w:pStyle w:val="Compact"/>
            </w:pPr>
            <w:r>
              <w:rPr>
                <w:b/>
                <w:bCs/>
              </w:rPr>
              <w:t xml:space="preserve">Data Integration</w:t>
            </w:r>
          </w:p>
        </w:tc>
        <w:tc>
          <w:tcPr/>
          <w:p>
            <w:pPr>
              <w:pStyle w:val="Compact"/>
            </w:pPr>
            <w:r>
              <w:t xml:space="preserve">Siloed – analysis done per batch/column, difficult to aggregate across units; Excel-based sharing.</w:t>
            </w:r>
          </w:p>
        </w:tc>
        <w:tc>
          <w:tcPr/>
          <w:p>
            <w:pPr>
              <w:pStyle w:val="Compact"/>
            </w:pPr>
            <w:r>
              <w:t xml:space="preserve">Unified – all 50 units feed one platform; enterprise-wide dashboards updated in near real-time</w:t>
            </w:r>
            <w:hyperlink r:id="rId48">
              <w:r>
                <w:rPr>
                  <w:rStyle w:val="Hyperlink"/>
                </w:rPr>
                <w:t xml:space="preserve">[25]</w:t>
              </w:r>
            </w:hyperlink>
            <w:r>
              <w:t xml:space="preserve">.</w:t>
            </w:r>
          </w:p>
        </w:tc>
      </w:tr>
      <w:tr>
        <w:tc>
          <w:tcPr/>
          <w:p>
            <w:pPr>
              <w:pStyle w:val="Compact"/>
            </w:pPr>
            <w:r>
              <w:rPr>
                <w:b/>
                <w:bCs/>
              </w:rPr>
              <w:t xml:space="preserve">Process Adjustments</w:t>
            </w:r>
          </w:p>
        </w:tc>
        <w:tc>
          <w:tcPr/>
          <w:p>
            <w:pPr>
              <w:pStyle w:val="Compact"/>
            </w:pPr>
            <w:r>
              <w:t xml:space="preserve">Limited – no feedback to current run; only informs future runs.</w:t>
            </w:r>
          </w:p>
        </w:tc>
        <w:tc>
          <w:tcPr/>
          <w:p>
            <w:pPr>
              <w:pStyle w:val="Compact"/>
            </w:pPr>
            <w:r>
              <w:t xml:space="preserve">Enabled – real-time insights allow mid-process decisions (e.g. divert flow, stop early, replace column between cycles if critical).</w:t>
            </w:r>
          </w:p>
        </w:tc>
      </w:tr>
      <w:tr>
        <w:tc>
          <w:tcPr/>
          <w:p>
            <w:pPr>
              <w:pStyle w:val="Compact"/>
            </w:pPr>
            <w:r>
              <w:rPr>
                <w:b/>
                <w:bCs/>
              </w:rPr>
              <w:t xml:space="preserve">Compliance &amp; Reporting</w:t>
            </w:r>
          </w:p>
        </w:tc>
        <w:tc>
          <w:tcPr/>
          <w:p>
            <w:pPr>
              <w:pStyle w:val="Compact"/>
            </w:pPr>
            <w:r>
              <w:t xml:space="preserve">Manual report preparation; potential for transcription errors.</w:t>
            </w:r>
          </w:p>
        </w:tc>
        <w:tc>
          <w:tcPr/>
          <w:p>
            <w:pPr>
              <w:pStyle w:val="Compact"/>
            </w:pPr>
            <w:r>
              <w:t xml:space="preserve">Automatic report generation; audit trails of data and analysis steps for compliance.</w:t>
            </w:r>
          </w:p>
        </w:tc>
      </w:tr>
    </w:tbl>
    <w:p>
      <w:pPr>
        <w:pStyle w:val="BodyText"/>
      </w:pPr>
      <w:r>
        <w:t xml:space="preserve">The transition to a streaming cloud platform clearly offers substantial</w:t>
      </w:r>
      <w:r>
        <w:t xml:space="preserve"> </w:t>
      </w:r>
      <w:r>
        <w:rPr>
          <w:b/>
          <w:bCs/>
        </w:rPr>
        <w:t xml:space="preserve">value</w:t>
      </w:r>
      <w:r>
        <w:t xml:space="preserve">: tens of hours per week in labor savings, prevention of expensive batch failures (each potentially worth millions), faster cycle times by avoiding unnecessary tests/downtime, and improved product quality assurance. In quantitative terms, if even 1–2 batches per year are saved from failure by early detection of column issues, the company could save on the order of \$1–5 million (assuming a batch’s drug product value). Labor-wise, saving 15 hours per week of an engineer’s time equates to ~0.4 FTE; across a team, this might defer the need to hire additional staff as production scales. The ability to make decisions in real-time (rather than post-mortem) also means a more agile and efficient manufacturing operation.</w:t>
      </w:r>
    </w:p>
    <w:bookmarkEnd w:id="49"/>
    <w:bookmarkEnd w:id="50"/>
    <w:bookmarkStart w:id="67" w:name="X2b7f5963d5a1b431560d607c7fa92d0c730320c"/>
    <w:p>
      <w:pPr>
        <w:pStyle w:val="Heading2"/>
      </w:pPr>
      <w:r>
        <w:t xml:space="preserve">2. Hybrid Modeling for Early Prediction of Bioreactor Performance</w:t>
      </w:r>
    </w:p>
    <w:bookmarkStart w:id="51" w:name="Xa12973defc06b1fe1a5e9f462383b3c91189777"/>
    <w:p>
      <w:pPr>
        <w:pStyle w:val="Heading3"/>
      </w:pPr>
      <w:r>
        <w:t xml:space="preserve">2.1 Traditional Monitoring of 14-Day Bioreactor Batches</w:t>
      </w:r>
    </w:p>
    <w:p>
      <w:pPr>
        <w:pStyle w:val="FirstParagraph"/>
      </w:pPr>
      <w:r>
        <w:t xml:space="preserve">Upstream cell culture is another area poised for improvement via data analytics. In a typical bioprocess, a production bioreactor (often a 10–15 day fed-batch culture for monoclonal antibody production) is monitored with basic sensors and daily offline measurements. Traditionally:</w:t>
      </w:r>
    </w:p>
    <w:p>
      <w:pPr>
        <w:pStyle w:val="Compact"/>
        <w:numPr>
          <w:ilvl w:val="0"/>
          <w:numId w:val="1005"/>
        </w:numPr>
      </w:pPr>
      <w:r>
        <w:rPr>
          <w:b/>
          <w:bCs/>
        </w:rPr>
        <w:t xml:space="preserve">Process Variables Control:</w:t>
      </w:r>
      <w:r>
        <w:t xml:space="preserve"> </w:t>
      </w:r>
      <w:r>
        <w:t xml:space="preserve">Key parameters like temperature, pH, dissolved oxygen (DO), and agitation are kept at setpoints via PID controllers. These ensure the culture environment stays within acceptable ranges, but they do not directly indicate how the culture performance (growth or production) will turn out in the long run.</w:t>
      </w:r>
    </w:p>
    <w:p>
      <w:pPr>
        <w:pStyle w:val="Compact"/>
        <w:numPr>
          <w:ilvl w:val="0"/>
          <w:numId w:val="1005"/>
        </w:numPr>
      </w:pPr>
      <w:r>
        <w:rPr>
          <w:b/>
          <w:bCs/>
        </w:rPr>
        <w:t xml:space="preserve">Offline Sampling:</w:t>
      </w:r>
      <w:r>
        <w:t xml:space="preserve"> </w:t>
      </w:r>
      <w:r>
        <w:t xml:space="preserve">Once or twice a day, technicians take samples from the bioreactor to measure critical batch attributes in the lab. Typically,</w:t>
      </w:r>
      <w:r>
        <w:t xml:space="preserve"> </w:t>
      </w:r>
      <w:r>
        <w:rPr>
          <w:b/>
          <w:bCs/>
        </w:rPr>
        <w:t xml:space="preserve">viable cell density (VCD)</w:t>
      </w:r>
      <w:r>
        <w:t xml:space="preserve"> </w:t>
      </w:r>
      <w:r>
        <w:t xml:space="preserve">and viability are measured (e.g. using cell counters or microscopy), and metabolites like glucose, lactate, ammonia are analyzed. Product</w:t>
      </w:r>
      <w:r>
        <w:t xml:space="preserve"> </w:t>
      </w:r>
      <w:r>
        <w:rPr>
          <w:b/>
          <w:bCs/>
        </w:rPr>
        <w:t xml:space="preserve">titer</w:t>
      </w:r>
      <w:r>
        <w:t xml:space="preserve"> </w:t>
      </w:r>
      <w:r>
        <w:t xml:space="preserve">(concentration of the target protein) is usually measured more infrequently – perhaps a mid-run sample (e.g. on day 7) and then at harvest (day 14) – because titer assays (like HPLC or ELISA) are time-consuming. In many cases, the final titer is only confirmed after the batch is harvested and samples are tested, meaning the true performance is known at the very end.</w:t>
      </w:r>
    </w:p>
    <w:p>
      <w:pPr>
        <w:pStyle w:val="Compact"/>
        <w:numPr>
          <w:ilvl w:val="0"/>
          <w:numId w:val="1005"/>
        </w:numPr>
      </w:pPr>
      <w:r>
        <w:rPr>
          <w:b/>
          <w:bCs/>
        </w:rPr>
        <w:t xml:space="preserve">Run-to-Run Comparison:</w:t>
      </w:r>
      <w:r>
        <w:t xml:space="preserve"> </w:t>
      </w:r>
      <w:r>
        <w:t xml:space="preserve">Process scientists may use historical experience or simple trend analysis to guess how a batch is doing. For example, if by day 5 the cell density is lower than average, they might suspect the final titer will also be low. However, these are rough heuristics. Without a formal predictive model, it’s hard to quantify how early growth differences translate to final outcomes. In practice, decisions are often made</w:t>
      </w:r>
      <w:r>
        <w:t xml:space="preserve"> </w:t>
      </w:r>
      <w:r>
        <w:rPr>
          <w:i/>
          <w:iCs/>
        </w:rPr>
        <w:t xml:space="preserve">after</w:t>
      </w:r>
      <w:r>
        <w:t xml:space="preserve"> </w:t>
      </w:r>
      <w:r>
        <w:t xml:space="preserve">getting certain key lab results (for instance, a low glucose on day 10 might prompt an extra feed, or a poor day-7 titer might raise concern but there’s usually no option to significantly change course by then aside from ensuring the feed schedule is followed).</w:t>
      </w:r>
    </w:p>
    <w:p>
      <w:pPr>
        <w:pStyle w:val="Compact"/>
        <w:numPr>
          <w:ilvl w:val="0"/>
          <w:numId w:val="1005"/>
        </w:numPr>
      </w:pPr>
      <w:r>
        <w:rPr>
          <w:b/>
          <w:bCs/>
        </w:rPr>
        <w:t xml:space="preserve">Limited Prediction Capability:</w:t>
      </w:r>
      <w:r>
        <w:t xml:space="preserve"> </w:t>
      </w:r>
      <w:r>
        <w:t xml:space="preserve">Operators and engineers largely rely on the batch following the standard trajectory. If an unexpected disturbance happens (contamination, a feed pump error, a sensor drift leading to wrong pH, etc.), they correct it in real-time via control loops or manual intervention, but predicting the</w:t>
      </w:r>
      <w:r>
        <w:t xml:space="preserve"> </w:t>
      </w:r>
      <w:r>
        <w:rPr>
          <w:i/>
          <w:iCs/>
        </w:rPr>
        <w:t xml:space="preserve">end result</w:t>
      </w:r>
      <w:r>
        <w:t xml:space="preserve"> </w:t>
      </w:r>
      <w:r>
        <w:t xml:space="preserve">(like final protein yield or peak cell density) from that is mostly guesswork. In some cases, empirical correlations or simple models might exist (e.g. cell density on day 7 correlates with final titer), but these are often specific and not very accurate across varying conditions. In summary, under the traditional approach, one</w:t>
      </w:r>
      <w:r>
        <w:t xml:space="preserve"> </w:t>
      </w:r>
      <w:r>
        <w:rPr>
          <w:b/>
          <w:bCs/>
        </w:rPr>
        <w:t xml:space="preserve">cannot reliably know the final titer or total cell count until very late in the batch</w:t>
      </w:r>
      <w:r>
        <w:t xml:space="preserve">. This uncertainty forces a conservative operational strategy: all batches run to completion regardless of intermediate indicators, and contingency plans are made in case a batch underperforms (e.g. keeping spare capacity or additional batches in the campaign).</w:t>
      </w:r>
    </w:p>
    <w:p>
      <w:pPr>
        <w:pStyle w:val="FirstParagraph"/>
      </w:pPr>
      <w:r>
        <w:t xml:space="preserve">The consequences of this limited foresight include: if a batch is going to fall short of yield, you only find out at day 14 when nothing can be done to recover the lost time; or if a batch is trending extremely well, you might not capitalize on that (perhaps one could have harvested a day earlier or adjusted the downstream schedule). Also, multiple off-line assays and daily monitoring involve significant labor and delay (each lab test result might come hours after sampling).</w:t>
      </w:r>
    </w:p>
    <w:bookmarkEnd w:id="51"/>
    <w:bookmarkStart w:id="57" w:name="Xe68b6c3ba7392dabca3823407e6642dad26f9ee"/>
    <w:p>
      <w:pPr>
        <w:pStyle w:val="Heading3"/>
      </w:pPr>
      <w:r>
        <w:t xml:space="preserve">2.2 Hybrid Mechanistic + Machine Learning Modeling Approach</w:t>
      </w:r>
    </w:p>
    <w:p>
      <w:pPr>
        <w:pStyle w:val="FirstParagraph"/>
      </w:pPr>
      <w:r>
        <w:rPr>
          <w:b/>
          <w:bCs/>
        </w:rPr>
        <w:t xml:space="preserve">Hybrid modeling</w:t>
      </w:r>
      <w:r>
        <w:t xml:space="preserve"> </w:t>
      </w:r>
      <w:r>
        <w:t xml:space="preserve">offers a solution by combining first-principles knowledge with data-driven learning to create a “digital twin” of the bioreactor. In practical terms, a hybrid model might use known cell growth kinetics and metabolic pathways (mechanistic model components) augmented with machine learning algorithms that learn from historical data to capture complexities or unmodeled effects. This approach benefits from the strengths of both: the scientific robustness of mechanistic models and the adaptability of ML to fit empirical data</w:t>
      </w:r>
      <w:hyperlink r:id="rId52">
        <w:r>
          <w:rPr>
            <w:rStyle w:val="Hyperlink"/>
          </w:rPr>
          <w:t xml:space="preserve">[26]</w:t>
        </w:r>
      </w:hyperlink>
      <w:r>
        <w:t xml:space="preserve">. For a 14-day CHO cell culture, a hybrid model can be developed to predict key outputs (cell density, product titer, metabolite concentrations) as a function of time and process conditions.</w:t>
      </w:r>
    </w:p>
    <w:p>
      <w:pPr>
        <w:pStyle w:val="BodyText"/>
      </w:pPr>
      <w:r>
        <w:t xml:space="preserve">Key features of implementing a hybrid model for batch prediction include:</w:t>
      </w:r>
    </w:p>
    <w:p>
      <w:pPr>
        <w:pStyle w:val="Compact"/>
        <w:numPr>
          <w:ilvl w:val="0"/>
          <w:numId w:val="1006"/>
        </w:numPr>
      </w:pPr>
      <w:r>
        <w:rPr>
          <w:b/>
          <w:bCs/>
        </w:rPr>
        <w:t xml:space="preserve">Mechanistic Core:</w:t>
      </w:r>
      <w:r>
        <w:t xml:space="preserve"> </w:t>
      </w:r>
      <w:r>
        <w:t xml:space="preserve">The model incorporates fundamental relationships such as logistic growth for cells, yield coefficients relating nutrient consumption to biomass and product formation, and possibly differential equations for nutrient uptake and product secretion. These provide a reasonable baseline of how the culture should behave under ideal conditions (e.g. cells grow exponentially, then plateau as nutrients deplete or waste accumulates).</w:t>
      </w:r>
    </w:p>
    <w:p>
      <w:pPr>
        <w:pStyle w:val="Compact"/>
        <w:numPr>
          <w:ilvl w:val="0"/>
          <w:numId w:val="1006"/>
        </w:numPr>
      </w:pPr>
      <w:r>
        <w:rPr>
          <w:b/>
          <w:bCs/>
        </w:rPr>
        <w:t xml:space="preserve">Machine Learning Residuals:</w:t>
      </w:r>
      <w:r>
        <w:t xml:space="preserve"> </w:t>
      </w:r>
      <w:r>
        <w:t xml:space="preserve">The ML component is trained on historical batch data to learn patterns that the mechanistic equations can’t capture fully. For example, subtle effects of media lot differences or cell line genetic drift might be learned by an ML model (like a neural network or support vector machine) by looking at dozens of past batches. The hybrid might work by the ML model predicting the</w:t>
      </w:r>
      <w:r>
        <w:t xml:space="preserve"> </w:t>
      </w:r>
      <w:r>
        <w:rPr>
          <w:i/>
          <w:iCs/>
        </w:rPr>
        <w:t xml:space="preserve">error</w:t>
      </w:r>
      <w:r>
        <w:t xml:space="preserve"> </w:t>
      </w:r>
      <w:r>
        <w:t xml:space="preserve">or residual between the mechanistic model’s prediction and the actual observed values, thereby correcting biases. Studies have found that such hybrid models significantly improve prediction accuracy; for instance, one 2024 study reported a</w:t>
      </w:r>
      <w:r>
        <w:t xml:space="preserve"> </w:t>
      </w:r>
      <w:r>
        <w:rPr>
          <w:b/>
          <w:bCs/>
        </w:rPr>
        <w:t xml:space="preserve">significant reduction in prediction error</w:t>
      </w:r>
      <w:r>
        <w:t xml:space="preserve"> </w:t>
      </w:r>
      <w:r>
        <w:t xml:space="preserve">for day-14 titer when using a mechanistic+ML hybrid model compared to purely data-driven or purely mechanistic models</w:t>
      </w:r>
      <w:hyperlink r:id="rId53">
        <w:r>
          <w:rPr>
            <w:rStyle w:val="Hyperlink"/>
          </w:rPr>
          <w:t xml:space="preserve">[27]</w:t>
        </w:r>
      </w:hyperlink>
      <w:r>
        <w:t xml:space="preserve">.</w:t>
      </w:r>
    </w:p>
    <w:p>
      <w:pPr>
        <w:pStyle w:val="Compact"/>
        <w:numPr>
          <w:ilvl w:val="0"/>
          <w:numId w:val="1006"/>
        </w:numPr>
      </w:pPr>
      <w:r>
        <w:rPr>
          <w:b/>
          <w:bCs/>
        </w:rPr>
        <w:t xml:space="preserve">Real-Time Data Feeding:</w:t>
      </w:r>
      <w:r>
        <w:t xml:space="preserve"> </w:t>
      </w:r>
      <w:r>
        <w:t xml:space="preserve">As the batch progresses, the model continuously updates its predictions using new data. For example, each day when a new cell density measurement comes in (or even using online sensor data like capacitance probes for biomass), the model state is updated. The mechanistic part might be recalibrated (e.g. specific growth rate adjusted), and the ML part uses the current trajectory to adjust the forecast. This is analogous to a soft-sensor that “learns how to predict the [final] titer based only on critical process parameters” available in real-time</w:t>
      </w:r>
      <w:hyperlink r:id="rId54">
        <w:r>
          <w:rPr>
            <w:rStyle w:val="Hyperlink"/>
          </w:rPr>
          <w:t xml:space="preserve">[28]</w:t>
        </w:r>
      </w:hyperlink>
      <w:r>
        <w:t xml:space="preserve">. By mid-batch, the model has assimilated enough information to make a confident projection of the final outcomes.</w:t>
      </w:r>
    </w:p>
    <w:p>
      <w:pPr>
        <w:pStyle w:val="Compact"/>
        <w:numPr>
          <w:ilvl w:val="0"/>
          <w:numId w:val="1006"/>
        </w:numPr>
      </w:pPr>
      <w:r>
        <w:rPr>
          <w:b/>
          <w:bCs/>
        </w:rPr>
        <w:t xml:space="preserve">Predictive Outputs:</w:t>
      </w:r>
      <w:r>
        <w:t xml:space="preserve"> </w:t>
      </w:r>
      <w:r>
        <w:t xml:space="preserve">The model can generate predictions like “final titer at day 14” or “maximum cell density and when it will occur” or even intermediate milestones (e.g. titer on day 10). These are accompanied by confidence intervals if the model is probabilistic. Importantly, the predictions are available</w:t>
      </w:r>
      <w:r>
        <w:t xml:space="preserve"> </w:t>
      </w:r>
      <w:r>
        <w:rPr>
          <w:b/>
          <w:bCs/>
        </w:rPr>
        <w:t xml:space="preserve">well before those events actually happen</w:t>
      </w:r>
      <w:r>
        <w:t xml:space="preserve"> </w:t>
      </w:r>
      <w:r>
        <w:t xml:space="preserve">in the process. For instance, by day 7, the model might already forecast what the day-14 titer will be, instead of waiting another week for actual measurement. In technical terms, this is an inferential measurement or</w:t>
      </w:r>
      <w:r>
        <w:t xml:space="preserve"> </w:t>
      </w:r>
      <w:r>
        <w:rPr>
          <w:i/>
          <w:iCs/>
        </w:rPr>
        <w:t xml:space="preserve">soft sensor</w:t>
      </w:r>
      <w:r>
        <w:t xml:space="preserve"> </w:t>
      </w:r>
      <w:r>
        <w:t xml:space="preserve">of the final CQA (Critical Quality Attribute).</w:t>
      </w:r>
    </w:p>
    <w:p>
      <w:pPr>
        <w:pStyle w:val="FirstParagraph"/>
      </w:pPr>
      <w:r>
        <w:t xml:space="preserve">Hybrid models have been successfully demonstrated in bioprocess settings. In one case, researchers built a hybrid model to simulate a high-titer mAb production bioreactor, integrating fundamental growth kinetics with empirical data; such models form the basis for advanced process control and real-time optimization strategies</w:t>
      </w:r>
      <w:hyperlink r:id="rId55">
        <w:r>
          <w:rPr>
            <w:rStyle w:val="Hyperlink"/>
          </w:rPr>
          <w:t xml:space="preserve">[29]</w:t>
        </w:r>
      </w:hyperlink>
      <w:hyperlink r:id="rId56">
        <w:r>
          <w:rPr>
            <w:rStyle w:val="Hyperlink"/>
          </w:rPr>
          <w:t xml:space="preserve">[30]</w:t>
        </w:r>
      </w:hyperlink>
      <w:r>
        <w:t xml:space="preserve">. The goal is to turn the bioreactor into a predictively managed system rather than just a controlled system – not only controlling parameters but also forecasting outcomes.</w:t>
      </w:r>
    </w:p>
    <w:bookmarkEnd w:id="57"/>
    <w:bookmarkStart w:id="64" w:name="X143959cb564aa1fccff0341825560e98489e7f1"/>
    <w:p>
      <w:pPr>
        <w:pStyle w:val="Heading3"/>
      </w:pPr>
      <w:r>
        <w:t xml:space="preserve">2.3 How Much Earlier Can We Predict Batch Outcomes?</w:t>
      </w:r>
    </w:p>
    <w:p>
      <w:pPr>
        <w:pStyle w:val="FirstParagraph"/>
      </w:pPr>
      <w:r>
        <w:t xml:space="preserve">A core question is: with hybrid modeling, how much earlier can we</w:t>
      </w:r>
      <w:r>
        <w:t xml:space="preserve"> </w:t>
      </w:r>
      <w:r>
        <w:rPr>
          <w:b/>
          <w:bCs/>
        </w:rPr>
        <w:t xml:space="preserve">reliably</w:t>
      </w:r>
      <w:r>
        <w:t xml:space="preserve"> </w:t>
      </w:r>
      <w:r>
        <w:t xml:space="preserve">predict key batch attributes (titer, cell density) compared to current practice? Several reports and studies indicate substantial improvements in prediction horizon:</w:t>
      </w:r>
    </w:p>
    <w:p>
      <w:pPr>
        <w:pStyle w:val="Compact"/>
        <w:numPr>
          <w:ilvl w:val="0"/>
          <w:numId w:val="1007"/>
        </w:numPr>
      </w:pPr>
      <w:r>
        <w:rPr>
          <w:b/>
          <w:bCs/>
        </w:rPr>
        <w:t xml:space="preserve">Mid-Course Prediction of Final Titer:</w:t>
      </w:r>
      <w:r>
        <w:t xml:space="preserve"> </w:t>
      </w:r>
      <w:r>
        <w:t xml:space="preserve">Implementations of real-time titer “soft sensors” show that final product titer can be predicted</w:t>
      </w:r>
      <w:r>
        <w:t xml:space="preserve"> </w:t>
      </w:r>
      <w:r>
        <w:rPr>
          <w:i/>
          <w:iCs/>
        </w:rPr>
        <w:t xml:space="preserve">several days in advance</w:t>
      </w:r>
      <w:r>
        <w:t xml:space="preserve"> </w:t>
      </w:r>
      <w:r>
        <w:t xml:space="preserve">of the actual harvest. For example, one case study demonstrated that once</w:t>
      </w:r>
      <w:r>
        <w:t xml:space="preserve"> </w:t>
      </w:r>
      <w:r>
        <w:rPr>
          <w:b/>
          <w:bCs/>
        </w:rPr>
        <w:t xml:space="preserve">50% of the batch duration was completed</w:t>
      </w:r>
      <w:r>
        <w:t xml:space="preserve">, the model’s real-time titer prediction was extremely accurate – within about</w:t>
      </w:r>
      <w:r>
        <w:t xml:space="preserve"> </w:t>
      </w:r>
      <w:r>
        <w:rPr>
          <w:b/>
          <w:bCs/>
        </w:rPr>
        <w:t xml:space="preserve">0.5% of the actual final titer</w:t>
      </w:r>
      <w:hyperlink r:id="rId58">
        <w:r>
          <w:rPr>
            <w:rStyle w:val="Hyperlink"/>
          </w:rPr>
          <w:t xml:space="preserve">[31]</w:t>
        </w:r>
      </w:hyperlink>
      <w:hyperlink r:id="rId59">
        <w:r>
          <w:rPr>
            <w:rStyle w:val="Hyperlink"/>
          </w:rPr>
          <w:t xml:space="preserve">[32]</w:t>
        </w:r>
      </w:hyperlink>
      <w:r>
        <w:t xml:space="preserve">. In a 14-day process, 50% completion is day 7. Thus, around day 7, the model essentially knew the final titer with negligible error. This is a dramatic improvement over the traditional situation of uncertainty until day 14. Even if not all models achieve such precision, it is reasonable to expect a well-trained hybrid model to predict final titer</w:t>
      </w:r>
      <w:r>
        <w:t xml:space="preserve"> </w:t>
      </w:r>
      <w:r>
        <w:rPr>
          <w:b/>
          <w:bCs/>
        </w:rPr>
        <w:t xml:space="preserve">nearly a week early</w:t>
      </w:r>
      <w:r>
        <w:t xml:space="preserve"> </w:t>
      </w:r>
      <w:r>
        <w:t xml:space="preserve">(e.g. by day 7–10) with high confidence. In practical terms, a prediction might be, for instance, “Expected final titer = 3.5 g/L ± 0.2 g/L” given the data observed by day 7.</w:t>
      </w:r>
    </w:p>
    <w:p>
      <w:pPr>
        <w:pStyle w:val="Compact"/>
        <w:numPr>
          <w:ilvl w:val="0"/>
          <w:numId w:val="1007"/>
        </w:numPr>
      </w:pPr>
      <w:r>
        <w:rPr>
          <w:b/>
          <w:bCs/>
        </w:rPr>
        <w:t xml:space="preserve">Early Cell Density Trajectory Forecast:</w:t>
      </w:r>
      <w:r>
        <w:t xml:space="preserve"> </w:t>
      </w:r>
      <w:r>
        <w:t xml:space="preserve">Viable cell density (VCD) typically follows a predictable growth curve, so a hybrid model can forecast the cell growth trajectory a few days ahead at any point. For instance, by day 5, the model might predict when the culture will reach peak cell density and what that peak will be. If the model sees that growth rate is slower than normal, it could predict a lower peak VCD (and consequently perhaps a lower titer) earlier than an operator’s intuition would. In research, hybrid or ML models have been used to successfully</w:t>
      </w:r>
      <w:r>
        <w:t xml:space="preserve"> </w:t>
      </w:r>
      <w:r>
        <w:rPr>
          <w:b/>
          <w:bCs/>
        </w:rPr>
        <w:t xml:space="preserve">predict next-day cell density and even final cell counts</w:t>
      </w:r>
      <w:r>
        <w:t xml:space="preserve"> </w:t>
      </w:r>
      <w:r>
        <w:t xml:space="preserve">using data up to the current day</w:t>
      </w:r>
      <w:hyperlink r:id="rId60">
        <w:r>
          <w:rPr>
            <w:rStyle w:val="Hyperlink"/>
          </w:rPr>
          <w:t xml:space="preserve">[33]</w:t>
        </w:r>
      </w:hyperlink>
      <w:r>
        <w:t xml:space="preserve">. This day-ahead prediction capability means at any point you have a sense of the culture’s likely future path.</w:t>
      </w:r>
    </w:p>
    <w:p>
      <w:pPr>
        <w:pStyle w:val="Compact"/>
        <w:numPr>
          <w:ilvl w:val="0"/>
          <w:numId w:val="1007"/>
        </w:numPr>
      </w:pPr>
      <w:r>
        <w:rPr>
          <w:b/>
          <w:bCs/>
        </w:rPr>
        <w:t xml:space="preserve">Overall State Prediction:</w:t>
      </w:r>
      <w:r>
        <w:t xml:space="preserve"> </w:t>
      </w:r>
      <w:r>
        <w:t xml:space="preserve">More comprehensive hybrid models (e.g. incorporating nutrient feed rates, metabolite measurements, etc.) can sometimes predict the entire remaining time-course. One multi-scale hybrid modeling approach was able to predict final cell density and antibody titer</w:t>
      </w:r>
      <w:r>
        <w:t xml:space="preserve"> </w:t>
      </w:r>
      <w:r>
        <w:rPr>
          <w:b/>
          <w:bCs/>
        </w:rPr>
        <w:t xml:space="preserve">to within 10% of the actual values</w:t>
      </w:r>
      <w:r>
        <w:t xml:space="preserve"> </w:t>
      </w:r>
      <w:r>
        <w:t xml:space="preserve">across a set of batches</w:t>
      </w:r>
      <w:hyperlink r:id="rId61">
        <w:r>
          <w:rPr>
            <w:rStyle w:val="Hyperlink"/>
          </w:rPr>
          <w:t xml:space="preserve">[34]</w:t>
        </w:r>
      </w:hyperlink>
      <w:r>
        <w:t xml:space="preserve">. While that particular example may have used data from the whole run, it demonstrates that hybrid models can be very close to reality. With continuous updating, the error margin shrinks as the batch progresses. By the second week of a run, the predictions might be nearly exact.</w:t>
      </w:r>
    </w:p>
    <w:p>
      <w:pPr>
        <w:pStyle w:val="FirstParagraph"/>
      </w:pPr>
      <w:r>
        <w:t xml:space="preserve">In summary, with hybrid modeling one can often get a solid estimate of final batch performance</w:t>
      </w:r>
      <w:r>
        <w:t xml:space="preserve"> </w:t>
      </w:r>
      <w:r>
        <w:rPr>
          <w:b/>
          <w:bCs/>
        </w:rPr>
        <w:t xml:space="preserve">3–7 days before batch end</w:t>
      </w:r>
      <w:r>
        <w:t xml:space="preserve">. Compare this to maybe 0–1 day early (at best) in traditional setups (for example, if a day-13 titer sample is taken, you might know one day before harvest with some accuracy). Thus, we are looking at a nearly</w:t>
      </w:r>
      <w:r>
        <w:t xml:space="preserve"> </w:t>
      </w:r>
      <w:r>
        <w:rPr>
          <w:b/>
          <w:bCs/>
        </w:rPr>
        <w:t xml:space="preserve">week-long earlier visibility</w:t>
      </w:r>
      <w:r>
        <w:t xml:space="preserve"> </w:t>
      </w:r>
      <w:r>
        <w:t xml:space="preserve">into batch outcomes. Even a few days’ jump on information is extremely valuable in manufacturing coordination.</w:t>
      </w:r>
    </w:p>
    <w:p>
      <w:pPr>
        <w:pStyle w:val="BodyText"/>
      </w:pPr>
      <w:r>
        <w:t xml:space="preserve">It is worth noting that reliability of these early predictions depends on the model quality and the variability of the process. The hybrid model needs to be trained on sufficient historical data to handle various scenarios. In relatively consistent processes (like a well-established CHO fed-batch with little variability batch-to-batch), models have shown to be very reliable. For instance, as noted, one real-time model predicted final titer within 0.5% by mid-batch</w:t>
      </w:r>
      <w:hyperlink r:id="rId62">
        <w:r>
          <w:rPr>
            <w:rStyle w:val="Hyperlink"/>
          </w:rPr>
          <w:t xml:space="preserve">[35]</w:t>
        </w:r>
      </w:hyperlink>
      <w:r>
        <w:t xml:space="preserve">, essentially spot-on. Another review highlighted that product titer can indeed be</w:t>
      </w:r>
      <w:r>
        <w:t xml:space="preserve"> </w:t>
      </w:r>
      <w:r>
        <w:rPr>
          <w:b/>
          <w:bCs/>
        </w:rPr>
        <w:t xml:space="preserve">accurately predicted days prior to harvest</w:t>
      </w:r>
      <w:r>
        <w:t xml:space="preserve"> </w:t>
      </w:r>
      <w:r>
        <w:t xml:space="preserve">using modern ML techniques (such as support vector machines) trained on upstream data</w:t>
      </w:r>
      <w:hyperlink r:id="rId63">
        <w:r>
          <w:rPr>
            <w:rStyle w:val="Hyperlink"/>
          </w:rPr>
          <w:t xml:space="preserve">[36]</w:t>
        </w:r>
      </w:hyperlink>
      <w:r>
        <w:t xml:space="preserve">. This validates the expectation that</w:t>
      </w:r>
      <w:r>
        <w:t xml:space="preserve"> </w:t>
      </w:r>
      <w:r>
        <w:rPr>
          <w:i/>
          <w:iCs/>
        </w:rPr>
        <w:t xml:space="preserve">key attributes can be forecasted nearly a week in advance</w:t>
      </w:r>
      <w:r>
        <w:t xml:space="preserve">.</w:t>
      </w:r>
    </w:p>
    <w:bookmarkEnd w:id="64"/>
    <w:bookmarkStart w:id="66" w:name="X83b6dd92b07bff257a82a4af39acb7b1ea1194f"/>
    <w:p>
      <w:pPr>
        <w:pStyle w:val="Heading3"/>
      </w:pPr>
      <w:r>
        <w:t xml:space="preserve">2.4 Benefits of Early Prediction and Hybrid Modeling</w:t>
      </w:r>
    </w:p>
    <w:p>
      <w:pPr>
        <w:pStyle w:val="FirstParagraph"/>
      </w:pPr>
      <w:r>
        <w:t xml:space="preserve">Having the ability to predict batch outcomes earlier and more accurately unlocks several process improvements:</w:t>
      </w:r>
    </w:p>
    <w:p>
      <w:pPr>
        <w:pStyle w:val="Compact"/>
        <w:numPr>
          <w:ilvl w:val="0"/>
          <w:numId w:val="1008"/>
        </w:numPr>
      </w:pPr>
      <w:r>
        <w:rPr>
          <w:b/>
          <w:bCs/>
        </w:rPr>
        <w:t xml:space="preserve">Early Corrective Actions and Reduced Failure Risk:</w:t>
      </w:r>
      <w:r>
        <w:t xml:space="preserve"> </w:t>
      </w:r>
      <w:r>
        <w:t xml:space="preserve">When a model predicts that a batch is trending towards a poor outcome (e.g. low titer or faltering cell growth), the team can take action</w:t>
      </w:r>
      <w:r>
        <w:t xml:space="preserve"> </w:t>
      </w:r>
      <w:r>
        <w:rPr>
          <w:b/>
          <w:bCs/>
        </w:rPr>
        <w:t xml:space="preserve">during the batch</w:t>
      </w:r>
      <w:r>
        <w:t xml:space="preserve"> </w:t>
      </w:r>
      <w:r>
        <w:t xml:space="preserve">to try to correct the course. For example, if the model forecasts only 50% of expected titer by day 14, engineers could investigate causes – maybe a nutrient is depleting faster. They might adjust the feed strategy (add an extra feed, increase glucose concentration, etc.) guided by mechanistic understanding, to boost productivity. Or if a build-up of a toxic metabolite is projected, actions like refreshing medium or adjusting pH could mitigate it. In traditional practice, one might not realize the batch is significantly off-target until it’s too late; the hybrid model provides an</w:t>
      </w:r>
      <w:r>
        <w:t xml:space="preserve"> </w:t>
      </w:r>
      <w:r>
        <w:rPr>
          <w:i/>
          <w:iCs/>
        </w:rPr>
        <w:t xml:space="preserve">opportunity to rescue</w:t>
      </w:r>
      <w:r>
        <w:t xml:space="preserve"> </w:t>
      </w:r>
      <w:r>
        <w:t xml:space="preserve">an otherwise failing batch. Even if interventions can’t fully save it, they might improve the outcome slightly or at least avoid a total loss. In worst-case scenarios, if a batch is clearly destined to fail (e.g. contamination or a critical parameter deviation that can’t be fixed), an early prediction allows an</w:t>
      </w:r>
      <w:r>
        <w:t xml:space="preserve"> </w:t>
      </w:r>
      <w:r>
        <w:rPr>
          <w:b/>
          <w:bCs/>
        </w:rPr>
        <w:t xml:space="preserve">early termination</w:t>
      </w:r>
      <w:r>
        <w:t xml:space="preserve"> </w:t>
      </w:r>
      <w:r>
        <w:t xml:space="preserve">of the batch to cut losses. Instead of continuing an unsalvageable culture for another week, management might decide to abort on day 8 or 10. This saves</w:t>
      </w:r>
      <w:r>
        <w:t xml:space="preserve"> </w:t>
      </w:r>
      <w:r>
        <w:rPr>
          <w:b/>
          <w:bCs/>
        </w:rPr>
        <w:t xml:space="preserve">several days of plant time and resources</w:t>
      </w:r>
      <w:r>
        <w:t xml:space="preserve">, reducing the impact of the failure and allowing cleanup and restart sooner. For a 14-day process, terminating 4 days early saves ~30% of the production time for that batch – potentially enabling an extra batch in the campaign or at least reducing downtime.</w:t>
      </w:r>
    </w:p>
    <w:p>
      <w:pPr>
        <w:pStyle w:val="Compact"/>
        <w:numPr>
          <w:ilvl w:val="0"/>
          <w:numId w:val="1008"/>
        </w:numPr>
      </w:pPr>
      <w:r>
        <w:rPr>
          <w:b/>
          <w:bCs/>
        </w:rPr>
        <w:t xml:space="preserve">Process Optimization and Adaptive Control:</w:t>
      </w:r>
      <w:r>
        <w:t xml:space="preserve"> </w:t>
      </w:r>
      <w:r>
        <w:t xml:space="preserve">Predictive models are a cornerstone of</w:t>
      </w:r>
      <w:r>
        <w:t xml:space="preserve"> </w:t>
      </w:r>
      <w:r>
        <w:rPr>
          <w:b/>
          <w:bCs/>
        </w:rPr>
        <w:t xml:space="preserve">Advanced Process Control (APC)</w:t>
      </w:r>
      <w:r>
        <w:t xml:space="preserve">. With a trustworthy model, one could implement</w:t>
      </w:r>
      <w:r>
        <w:t xml:space="preserve"> </w:t>
      </w:r>
      <w:r>
        <w:rPr>
          <w:b/>
          <w:bCs/>
        </w:rPr>
        <w:t xml:space="preserve">model predictive control</w:t>
      </w:r>
      <w:r>
        <w:t xml:space="preserve"> </w:t>
      </w:r>
      <w:r>
        <w:t xml:space="preserve">that adjusts process inputs in real-time to reach a desired outcome. For instance, if by day 5 the predicted final titer is below target, the controller could adapt by extending the culture duration (if viable), or increasing feed of a limiting amino acid, etc., to try to hit the goal. This way, each batch is optimized in situ for maximum yield or quality. The hybrid model essentially provides a real-time compass for where the process is heading, enabling a shift from fixed setpoints to adaptive trajectories. Over many batches, this could systematically increase average yield or consistency. In one scenario, using hybrid model-based control was discussed as a method to satisfy multiple production objectives (like titer and product quality attributes) by adjusting feeds in a multivariate fashion</w:t>
      </w:r>
      <w:hyperlink r:id="rId65">
        <w:r>
          <w:rPr>
            <w:rStyle w:val="Hyperlink"/>
          </w:rPr>
          <w:t xml:space="preserve">[37]</w:t>
        </w:r>
      </w:hyperlink>
      <w:r>
        <w:t xml:space="preserve">. Early prediction is what makes such control feasible, since adjustments must be made before the end.</w:t>
      </w:r>
    </w:p>
    <w:p>
      <w:pPr>
        <w:pStyle w:val="Compact"/>
        <w:numPr>
          <w:ilvl w:val="0"/>
          <w:numId w:val="1008"/>
        </w:numPr>
      </w:pPr>
      <w:r>
        <w:rPr>
          <w:b/>
          <w:bCs/>
        </w:rPr>
        <w:t xml:space="preserve">Scheduling and Resource Utilization:</w:t>
      </w:r>
      <w:r>
        <w:t xml:space="preserve"> </w:t>
      </w:r>
      <w:r>
        <w:t xml:space="preserve">Knowing the expected titer (and possibly harvest volume) days in advance greatly aids</w:t>
      </w:r>
      <w:r>
        <w:t xml:space="preserve"> </w:t>
      </w:r>
      <w:r>
        <w:rPr>
          <w:b/>
          <w:bCs/>
        </w:rPr>
        <w:t xml:space="preserve">downstream process scheduling and supply chain decisions</w:t>
      </w:r>
      <w:r>
        <w:t xml:space="preserve">. For example, if the model predicts a very high titer (say 20% above normal), the downstream team can prepare additional purification resin, buffer, or vial filling capacity to handle the larger load, avoiding a bottleneck. Conversely, if the yield will be low, resources can be reallocated (maybe a planned extra purification cycle can be canceled, saving labor and materials). It also helps in</w:t>
      </w:r>
      <w:r>
        <w:t xml:space="preserve"> </w:t>
      </w:r>
      <w:r>
        <w:rPr>
          <w:b/>
          <w:bCs/>
        </w:rPr>
        <w:t xml:space="preserve">inventory management</w:t>
      </w:r>
      <w:r>
        <w:t xml:space="preserve"> </w:t>
      </w:r>
      <w:r>
        <w:t xml:space="preserve">– e.g. if final volume will be lower, maybe some buffer preparation can be reduced to avoid waste. On the supply chain side, if a shortfall in production is predicted, the business can initiate mitigation (like scheduling another batch or informing customers of a delay) much earlier than if they only found out at batch completion. This proactive stance reduces the risk of stockouts or urgent scramble for capacity.</w:t>
      </w:r>
    </w:p>
    <w:p>
      <w:pPr>
        <w:pStyle w:val="Compact"/>
        <w:numPr>
          <w:ilvl w:val="0"/>
          <w:numId w:val="1008"/>
        </w:numPr>
      </w:pPr>
      <w:r>
        <w:rPr>
          <w:b/>
          <w:bCs/>
        </w:rPr>
        <w:t xml:space="preserve">Campaign Planning Efficiency:</w:t>
      </w:r>
      <w:r>
        <w:t xml:space="preserve"> </w:t>
      </w:r>
      <w:r>
        <w:t xml:space="preserve">In facilities where multiple sequential batches are run, early prediction can shorten the feedback loop for campaign decisions. For instance, suppose a facility needs to produce a certain quota of drug substance in a campaign of N batches. If the first batch or two are predicted to underperform, management could decide early on to add an extra batch to the campaign or intensify later batches. On the other hand, if initial batches exceed targets, they might be able to meet the quota without running all planned batches, potentially freeing a fermentor for another product sooner. This</w:t>
      </w:r>
      <w:r>
        <w:t xml:space="preserve"> </w:t>
      </w:r>
      <w:r>
        <w:rPr>
          <w:b/>
          <w:bCs/>
        </w:rPr>
        <w:t xml:space="preserve">flexibility in campaign management</w:t>
      </w:r>
      <w:r>
        <w:t xml:space="preserve"> </w:t>
      </w:r>
      <w:r>
        <w:t xml:space="preserve">is only possible with reliable early indicators of final output.</w:t>
      </w:r>
    </w:p>
    <w:p>
      <w:pPr>
        <w:pStyle w:val="Compact"/>
        <w:numPr>
          <w:ilvl w:val="0"/>
          <w:numId w:val="1008"/>
        </w:numPr>
      </w:pPr>
      <w:r>
        <w:rPr>
          <w:b/>
          <w:bCs/>
        </w:rPr>
        <w:t xml:space="preserve">Time and Cost Savings:</w:t>
      </w:r>
      <w:r>
        <w:t xml:space="preserve"> </w:t>
      </w:r>
      <w:r>
        <w:t xml:space="preserve">Quantitatively, the benefits can be significant. By eliminating some</w:t>
      </w:r>
      <w:r>
        <w:t xml:space="preserve"> </w:t>
      </w:r>
      <w:r>
        <w:rPr>
          <w:b/>
          <w:bCs/>
        </w:rPr>
        <w:t xml:space="preserve">offline assays</w:t>
      </w:r>
      <w:r>
        <w:t xml:space="preserve">, there is direct savings in lab work and reagent costs. For example, if the model can predict titer accurately, one could reduce the frequency of HPLC titer measurements (which might take hours and reagents each time). A real-world PAT implementation noted that predicting final titer in real-time offers opportunities for</w:t>
      </w:r>
      <w:r>
        <w:t xml:space="preserve"> </w:t>
      </w:r>
      <w:r>
        <w:rPr>
          <w:b/>
          <w:bCs/>
        </w:rPr>
        <w:t xml:space="preserve">offline assay elimination</w:t>
      </w:r>
      <w:r>
        <w:t xml:space="preserve"> </w:t>
      </w:r>
      <w:r>
        <w:t xml:space="preserve">(since the model’s prediction replaces what an assay would tell you)</w:t>
      </w:r>
      <w:hyperlink r:id="rId58">
        <w:r>
          <w:rPr>
            <w:rStyle w:val="Hyperlink"/>
          </w:rPr>
          <w:t xml:space="preserve">[31]</w:t>
        </w:r>
      </w:hyperlink>
      <w:r>
        <w:t xml:space="preserve">. Each avoided assay might save several hours of analyst time and a few hundred dollars in consumables. Over dozens of batches, this adds up. Furthermore,</w:t>
      </w:r>
      <w:r>
        <w:t xml:space="preserve"> </w:t>
      </w:r>
      <w:r>
        <w:rPr>
          <w:b/>
          <w:bCs/>
        </w:rPr>
        <w:t xml:space="preserve">time savings</w:t>
      </w:r>
      <w:r>
        <w:t xml:space="preserve"> </w:t>
      </w:r>
      <w:r>
        <w:t xml:space="preserve">from early decisions (like ending a failing batch early or not waiting idle for a lab result) can be measured in days per batch. If early harvest or termination saves even 1–3 days on a batch, that translates to higher annual throughput or less production downtime (e.g. possibly fitting an extra batch in per year, which for a high-value product could mean millions in additional supply).</w:t>
      </w:r>
    </w:p>
    <w:p>
      <w:pPr>
        <w:pStyle w:val="Compact"/>
        <w:numPr>
          <w:ilvl w:val="0"/>
          <w:numId w:val="1008"/>
        </w:numPr>
      </w:pPr>
      <w:r>
        <w:rPr>
          <w:b/>
          <w:bCs/>
        </w:rPr>
        <w:t xml:space="preserve">Improved Product Quality and Compliance:</w:t>
      </w:r>
      <w:r>
        <w:t xml:space="preserve"> </w:t>
      </w:r>
      <w:r>
        <w:t xml:space="preserve">Early prediction of batch trajectories also helps in ensuring quality. If a model predicts, for example, that extending the culture by another day would sharply increase impurity formation (due to cell lysis at end of culture), the team might decide to harvest earlier at optimal quality. Or if a critical quality attribute (CQA) like glycosylation is influenced by culture conditions, a hybrid model might forecast it (or at least the factors affecting it), allowing adjustments to meet specifications. This ties into Quality by Design (QbD) principles – using process understanding (augmented by ML) to guarantee quality. Regulators encourage the use of such PAT tools to enhance control; a facility using predictive modeling can demonstrate a deeper process understanding and robustness. In essence, fewer batches out-of-spec means less risk of costly investigations or product rework.</w:t>
      </w:r>
    </w:p>
    <w:p>
      <w:pPr>
        <w:pStyle w:val="FirstParagraph"/>
      </w:pPr>
      <w:r>
        <w:t xml:space="preserve">Table 2 outlines a comparison between the traditional bioreactor operation approach and the hybrid modeling approach, emphasizing the differences in predictive capability and associated benefits: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Factor</w:t>
            </w:r>
          </w:p>
        </w:tc>
        <w:tc>
          <w:tcPr/>
          <w:p>
            <w:pPr>
              <w:pStyle w:val="Compact"/>
            </w:pPr>
            <w:r>
              <w:rPr>
                <w:b/>
                <w:bCs/>
              </w:rPr>
              <w:t xml:space="preserve">Traditional 14-Day Run (No Predictive Model)</w:t>
            </w:r>
          </w:p>
        </w:tc>
        <w:tc>
          <w:tcPr/>
          <w:p>
            <w:pPr>
              <w:pStyle w:val="Compact"/>
            </w:pPr>
            <w:r>
              <w:rPr>
                <w:b/>
                <w:bCs/>
              </w:rPr>
              <w:t xml:space="preserve">With Hybrid Mechanistic+ML Model</w:t>
            </w:r>
          </w:p>
        </w:tc>
      </w:tr>
      <w:tr>
        <w:tc>
          <w:tcPr/>
          <w:p>
            <w:pPr>
              <w:pStyle w:val="Compact"/>
            </w:pPr>
            <w:r>
              <w:rPr>
                <w:b/>
                <w:bCs/>
              </w:rPr>
              <w:t xml:space="preserve">Visibility into Final Titer</w:t>
            </w:r>
          </w:p>
        </w:tc>
        <w:tc>
          <w:tcPr/>
          <w:p>
            <w:pPr>
              <w:pStyle w:val="Compact"/>
            </w:pPr>
            <w:r>
              <w:t xml:space="preserve">Little to none until harvest; final titer known only after day 14 assay.</w:t>
            </w:r>
          </w:p>
        </w:tc>
        <w:tc>
          <w:tcPr/>
          <w:p>
            <w:pPr>
              <w:pStyle w:val="Compact"/>
            </w:pPr>
            <w:r>
              <w:t xml:space="preserve">High early visibility; final titer can be predicted by ~day 7–10 with reasonable accuracy</w:t>
            </w:r>
            <w:hyperlink r:id="rId58">
              <w:r>
                <w:rPr>
                  <w:rStyle w:val="Hyperlink"/>
                </w:rPr>
                <w:t xml:space="preserve">[31]</w:t>
              </w:r>
            </w:hyperlink>
            <w:hyperlink r:id="rId59">
              <w:r>
                <w:rPr>
                  <w:rStyle w:val="Hyperlink"/>
                </w:rPr>
                <w:t xml:space="preserve">[32]</w:t>
              </w:r>
            </w:hyperlink>
            <w:r>
              <w:t xml:space="preserve">.</w:t>
            </w:r>
          </w:p>
        </w:tc>
      </w:tr>
      <w:tr>
        <w:tc>
          <w:tcPr/>
          <w:p>
            <w:pPr>
              <w:pStyle w:val="Compact"/>
            </w:pPr>
            <w:r>
              <w:rPr>
                <w:b/>
                <w:bCs/>
              </w:rPr>
              <w:t xml:space="preserve">Viable Cell Density Forecast</w:t>
            </w:r>
          </w:p>
        </w:tc>
        <w:tc>
          <w:tcPr/>
          <w:p>
            <w:pPr>
              <w:pStyle w:val="Compact"/>
            </w:pPr>
            <w:r>
              <w:t xml:space="preserve">Based on typical growth profile; no guarantee if something deviates.</w:t>
            </w:r>
          </w:p>
        </w:tc>
        <w:tc>
          <w:tcPr/>
          <w:p>
            <w:pPr>
              <w:pStyle w:val="Compact"/>
            </w:pPr>
            <w:r>
              <w:t xml:space="preserve">Model forecasts growth curve; peak cell density and decline phase can be anticipated days ahead.</w:t>
            </w:r>
          </w:p>
        </w:tc>
      </w:tr>
      <w:tr>
        <w:tc>
          <w:tcPr/>
          <w:p>
            <w:pPr>
              <w:pStyle w:val="Compact"/>
            </w:pPr>
            <w:r>
              <w:rPr>
                <w:b/>
                <w:bCs/>
              </w:rPr>
              <w:t xml:space="preserve">Reaction to Deviations</w:t>
            </w:r>
          </w:p>
        </w:tc>
        <w:tc>
          <w:tcPr/>
          <w:p>
            <w:pPr>
              <w:pStyle w:val="Compact"/>
            </w:pPr>
            <w:r>
              <w:t xml:space="preserve">Reactive adjustments (e.g. fix a pump if it fails, feed more if glucose is low) but no way to change final outcome once issues manifest.</w:t>
            </w:r>
          </w:p>
        </w:tc>
        <w:tc>
          <w:tcPr/>
          <w:p>
            <w:pPr>
              <w:pStyle w:val="Compact"/>
            </w:pPr>
            <w:r>
              <w:t xml:space="preserve">Proactive adjustments (feed, aeration, etc.) guided by model predictions to steer the batch toward targets; potential to prevent a low-yield outcome.</w:t>
            </w:r>
          </w:p>
        </w:tc>
      </w:tr>
      <w:tr>
        <w:tc>
          <w:tcPr/>
          <w:p>
            <w:pPr>
              <w:pStyle w:val="Compact"/>
            </w:pPr>
            <w:r>
              <w:rPr>
                <w:b/>
                <w:bCs/>
              </w:rPr>
              <w:t xml:space="preserve">Handling of Failing Batches</w:t>
            </w:r>
          </w:p>
        </w:tc>
        <w:tc>
          <w:tcPr/>
          <w:p>
            <w:pPr>
              <w:pStyle w:val="Compact"/>
            </w:pPr>
            <w:r>
              <w:t xml:space="preserve">Usually run to full duration even if performance is poor (due to uncertainty), resulting in wasted time/resources if batch fails.</w:t>
            </w:r>
          </w:p>
        </w:tc>
        <w:tc>
          <w:tcPr/>
          <w:p>
            <w:pPr>
              <w:pStyle w:val="Compact"/>
            </w:pPr>
            <w:r>
              <w:t xml:space="preserve">Option to terminate early if model confidently predicts failure (saving days of runtime and associated costs).</w:t>
            </w:r>
          </w:p>
        </w:tc>
      </w:tr>
      <w:tr>
        <w:tc>
          <w:tcPr/>
          <w:p>
            <w:pPr>
              <w:pStyle w:val="Compact"/>
            </w:pPr>
            <w:r>
              <w:rPr>
                <w:b/>
                <w:bCs/>
              </w:rPr>
              <w:t xml:space="preserve">Use of Offline Assays</w:t>
            </w:r>
          </w:p>
        </w:tc>
        <w:tc>
          <w:tcPr/>
          <w:p>
            <w:pPr>
              <w:pStyle w:val="Compact"/>
            </w:pPr>
            <w:r>
              <w:t xml:space="preserve">Frequent (daily cell counts, regular metabolite checks, mid-run titer tests) to gather info; each with time lag and labor cost.</w:t>
            </w:r>
          </w:p>
        </w:tc>
        <w:tc>
          <w:tcPr/>
          <w:p>
            <w:pPr>
              <w:pStyle w:val="Compact"/>
            </w:pPr>
            <w:r>
              <w:t xml:space="preserve">Reduced reliance on offline tests; model acts as a soft-sensor for key metrics (e.g. inferring titer), enabling</w:t>
            </w:r>
            <w:r>
              <w:t xml:space="preserve"> </w:t>
            </w:r>
            <w:r>
              <w:rPr>
                <w:b/>
                <w:bCs/>
              </w:rPr>
              <w:t xml:space="preserve">some assays to be skipped</w:t>
            </w:r>
            <w:hyperlink r:id="rId58">
              <w:r>
                <w:rPr>
                  <w:rStyle w:val="Hyperlink"/>
                </w:rPr>
                <w:t xml:space="preserve">[31]</w:t>
              </w:r>
            </w:hyperlink>
            <w:r>
              <w:t xml:space="preserve">.</w:t>
            </w:r>
          </w:p>
        </w:tc>
      </w:tr>
      <w:tr>
        <w:tc>
          <w:tcPr/>
          <w:p>
            <w:pPr>
              <w:pStyle w:val="Compact"/>
            </w:pPr>
            <w:r>
              <w:rPr>
                <w:b/>
                <w:bCs/>
              </w:rPr>
              <w:t xml:space="preserve">Downstream &amp; Scheduling</w:t>
            </w:r>
          </w:p>
        </w:tc>
        <w:tc>
          <w:tcPr/>
          <w:p>
            <w:pPr>
              <w:pStyle w:val="Compact"/>
            </w:pPr>
            <w:r>
              <w:t xml:space="preserve">Downstream processes are scheduled based on nominal batch length; last-minute adjustments if yield is very off.</w:t>
            </w:r>
          </w:p>
        </w:tc>
        <w:tc>
          <w:tcPr/>
          <w:p>
            <w:pPr>
              <w:pStyle w:val="Compact"/>
            </w:pPr>
            <w:r>
              <w:t xml:space="preserve">Downstream can be scheduled dynamically; e.g. start prep for purification earlier if finishing early, or mobilize extra resin if a higher titer is predicted. Faster decisions on resource allocation.</w:t>
            </w:r>
          </w:p>
        </w:tc>
      </w:tr>
      <w:tr>
        <w:tc>
          <w:tcPr/>
          <w:p>
            <w:pPr>
              <w:pStyle w:val="Compact"/>
            </w:pPr>
            <w:r>
              <w:rPr>
                <w:b/>
                <w:bCs/>
              </w:rPr>
              <w:t xml:space="preserve">Risk of Not Meeting Target</w:t>
            </w:r>
          </w:p>
        </w:tc>
        <w:tc>
          <w:tcPr/>
          <w:p>
            <w:pPr>
              <w:pStyle w:val="Compact"/>
            </w:pPr>
            <w:r>
              <w:t xml:space="preserve">Discovered at end; if under target, no time to compensate except running more batches later (delays product supply).</w:t>
            </w:r>
          </w:p>
        </w:tc>
        <w:tc>
          <w:tcPr/>
          <w:p>
            <w:pPr>
              <w:pStyle w:val="Compact"/>
            </w:pPr>
            <w:r>
              <w:t xml:space="preserve">Known in advance; if forecast under target, can initiate mitigation during or immediately after batch (e.g. start a backup batch sooner, adjust production plans) – lowering risk of supply shortfall.</w:t>
            </w:r>
          </w:p>
        </w:tc>
      </w:tr>
      <w:tr>
        <w:tc>
          <w:tcPr/>
          <w:p>
            <w:pPr>
              <w:pStyle w:val="Compact"/>
            </w:pPr>
            <w:r>
              <w:rPr>
                <w:b/>
                <w:bCs/>
              </w:rPr>
              <w:t xml:space="preserve">Process Understanding</w:t>
            </w:r>
          </w:p>
        </w:tc>
        <w:tc>
          <w:tcPr/>
          <w:p>
            <w:pPr>
              <w:pStyle w:val="Compact"/>
            </w:pPr>
            <w:r>
              <w:t xml:space="preserve">Relies on historical data analysis post-batch to improve future runs (slow learning cycle).</w:t>
            </w:r>
          </w:p>
        </w:tc>
        <w:tc>
          <w:tcPr/>
          <w:p>
            <w:pPr>
              <w:pStyle w:val="Compact"/>
            </w:pPr>
            <w:r>
              <w:t xml:space="preserve">Rich, real-time insight into process dynamics; every batch provides data to refine the model, continuously improving understanding and control strategy.</w:t>
            </w:r>
          </w:p>
        </w:tc>
      </w:tr>
    </w:tbl>
    <w:p>
      <w:pPr>
        <w:pStyle w:val="BodyText"/>
      </w:pPr>
      <w:r>
        <w:t xml:space="preserve">In quantitative terms, early prediction can yield</w:t>
      </w:r>
      <w:r>
        <w:t xml:space="preserve"> </w:t>
      </w:r>
      <w:r>
        <w:rPr>
          <w:b/>
          <w:bCs/>
        </w:rPr>
        <w:t xml:space="preserve">time savings of several days</w:t>
      </w:r>
      <w:r>
        <w:t xml:space="preserve"> </w:t>
      </w:r>
      <w:r>
        <w:t xml:space="preserve">per batch in certain scenarios (early termination or optimized harvest). If even one out of ten batches is identified as a likely failure by mid-run and aborted, the facility might save ~5 days of processing (for that batch) which could translate to an extra batch slot in the annual schedule or simply cost savings (media, utilities, labor for those days). Over a year of many parallel bioreactors, this is substantial. Additionally, avoiding a batch failure (or being able to respond to it faster) reduces the risk of</w:t>
      </w:r>
      <w:r>
        <w:t xml:space="preserve"> </w:t>
      </w:r>
      <w:r>
        <w:rPr>
          <w:b/>
          <w:bCs/>
        </w:rPr>
        <w:t xml:space="preserve">batch write-off costs</w:t>
      </w:r>
      <w:r>
        <w:t xml:space="preserve"> </w:t>
      </w:r>
      <w:r>
        <w:t xml:space="preserve">(which for a commercial mAb batch can be in the order of \$1M+ in materials and lost drug substance). The improvement in planning can reduce idle time between batches; for example, if you know a batch will finish early or late, you can adjust the next inoculation timing accordingly, potentially improving reactor utilization by a few percentage points.</w:t>
      </w:r>
    </w:p>
    <w:p>
      <w:pPr>
        <w:pStyle w:val="BodyText"/>
      </w:pPr>
      <w:r>
        <w:rPr>
          <w:b/>
          <w:bCs/>
        </w:rPr>
        <w:t xml:space="preserve">Process improvements</w:t>
      </w:r>
      <w:r>
        <w:t xml:space="preserve"> </w:t>
      </w:r>
      <w:r>
        <w:t xml:space="preserve">enabled by early predictions also include better consistency (less batch-to-batch variability, since outliers can be managed) and knowledge transfer (the model can highlight which factors most influence performance, guiding process development). In one illustrative example, by implementing a real-time titer prediction at 50% batch completion, the team could eliminate the routine mid-batch HPLC assay and make</w:t>
      </w:r>
      <w:r>
        <w:t xml:space="preserve"> </w:t>
      </w:r>
      <w:r>
        <w:rPr>
          <w:b/>
          <w:bCs/>
        </w:rPr>
        <w:t xml:space="preserve">schedule adjustments</w:t>
      </w:r>
      <w:r>
        <w:t xml:space="preserve"> </w:t>
      </w:r>
      <w:r>
        <w:t xml:space="preserve">in advance</w:t>
      </w:r>
      <w:hyperlink r:id="rId58">
        <w:r>
          <w:rPr>
            <w:rStyle w:val="Hyperlink"/>
          </w:rPr>
          <w:t xml:space="preserve">[31]</w:t>
        </w:r>
      </w:hyperlink>
      <w:r>
        <w:t xml:space="preserve"> </w:t>
      </w:r>
      <w:r>
        <w:t xml:space="preserve">– meaning they could allocate resources for the downstream steps sooner and ensure any additional batches were started promptly if needed. This kind of agility in operations is a competitive advantage in manufacturing.</w:t>
      </w:r>
    </w:p>
    <w:bookmarkEnd w:id="66"/>
    <w:bookmarkEnd w:id="67"/>
    <w:bookmarkStart w:id="68" w:name="conclusion"/>
    <w:p>
      <w:pPr>
        <w:pStyle w:val="Heading2"/>
      </w:pPr>
      <w:r>
        <w:t xml:space="preserve">Conclusion</w:t>
      </w:r>
    </w:p>
    <w:p>
      <w:pPr>
        <w:pStyle w:val="FirstParagraph"/>
      </w:pPr>
      <w:r>
        <w:rPr>
          <w:b/>
          <w:bCs/>
        </w:rPr>
        <w:t xml:space="preserve">In conclusion</w:t>
      </w:r>
      <w:r>
        <w:t xml:space="preserve">, transitioning chromatography transition analysis to a real-time cloud-based platform and adopting hybrid modeling for bioreactor runs are high-impact initiatives for biopharmaceutical manufacturing. The chromatography data streaming approach transforms a sluggish, labor-intensive post-run analysis into an immediate monitoring tool – yielding quantifiable benefits like 10+ hours per week of labor saved and prevention of multiple batch failures per year</w:t>
      </w:r>
      <w:hyperlink r:id="rId31">
        <w:r>
          <w:rPr>
            <w:rStyle w:val="Hyperlink"/>
          </w:rPr>
          <w:t xml:space="preserve">[9]</w:t>
        </w:r>
      </w:hyperlink>
      <w:hyperlink r:id="rId42">
        <w:r>
          <w:rPr>
            <w:rStyle w:val="Hyperlink"/>
          </w:rPr>
          <w:t xml:space="preserve">[19]</w:t>
        </w:r>
      </w:hyperlink>
      <w:r>
        <w:t xml:space="preserve">. It enhances quality and compliance by ensuring every chromatography cycle is analyzed and trended without delay, thus safeguarding the purification process.</w:t>
      </w:r>
    </w:p>
    <w:p>
      <w:pPr>
        <w:pStyle w:val="BodyText"/>
      </w:pPr>
      <w:r>
        <w:t xml:space="preserve">Meanwhile, hybrid mechanistic/ML models in upstream processing act as “predictive eyes,” allowing manufacturers to see days into the future of a batch. This foresight, which can be as much as a week earlier for final titer predictions</w:t>
      </w:r>
      <w:hyperlink r:id="rId58">
        <w:r>
          <w:rPr>
            <w:rStyle w:val="Hyperlink"/>
          </w:rPr>
          <w:t xml:space="preserve">[31]</w:t>
        </w:r>
      </w:hyperlink>
      <w:hyperlink r:id="rId59">
        <w:r>
          <w:rPr>
            <w:rStyle w:val="Hyperlink"/>
          </w:rPr>
          <w:t xml:space="preserve">[32]</w:t>
        </w:r>
      </w:hyperlink>
      <w:r>
        <w:t xml:space="preserve">, enables proactive control and smarter decision-making. Early knowledge of batch outcomes means fewer surprises, optimized use of equipment, and faster responses to issues – ultimately translating to time and cost savings and more robust production schedules.</w:t>
      </w:r>
    </w:p>
    <w:p>
      <w:pPr>
        <w:pStyle w:val="BodyText"/>
      </w:pPr>
      <w:r>
        <w:t xml:space="preserve">Both innovations align with the industry’s move toward Pharma 4.0 and the</w:t>
      </w:r>
      <w:r>
        <w:t xml:space="preserve"> </w:t>
      </w:r>
      <w:r>
        <w:rPr>
          <w:b/>
          <w:bCs/>
        </w:rPr>
        <w:t xml:space="preserve">digitization of bioprocessing</w:t>
      </w:r>
      <w:r>
        <w:t xml:space="preserve">. By quantifying the value (in hours saved, batches rescued, days gained, and dollars earned or not lost), the case for these digital transformations is strong. Implementing real-time analytics and hybrid models requires investment in infrastructure, data integration, and model development, but the return on that investment is seen in increased efficiency, reduced risk, and improved product supply reliability. In an environment where a single batch’s success or failure carries huge implications, these tools provide a new level of assurance and agility to biotech manufacturing operations.</w:t>
      </w:r>
    </w:p>
    <w:p>
      <w:pPr>
        <w:pStyle w:val="BodyText"/>
      </w:pPr>
      <w:r>
        <w:rPr>
          <w:b/>
          <w:bCs/>
        </w:rPr>
        <w:t xml:space="preserve">Sources:</w:t>
      </w:r>
    </w:p>
    <w:p>
      <w:pPr>
        <w:pStyle w:val="Compact"/>
        <w:numPr>
          <w:ilvl w:val="0"/>
          <w:numId w:val="1009"/>
        </w:numPr>
      </w:pPr>
      <w:r>
        <w:t xml:space="preserve">Reckamp, J.</w:t>
      </w:r>
      <w:r>
        <w:t xml:space="preserve"> </w:t>
      </w:r>
      <w:r>
        <w:rPr>
          <w:i/>
          <w:iCs/>
        </w:rPr>
        <w:t xml:space="preserve">Pharmaceutical Technology</w:t>
      </w:r>
      <w:r>
        <w:t xml:space="preserve"> </w:t>
      </w:r>
      <w:r>
        <w:rPr>
          <w:b/>
          <w:bCs/>
        </w:rPr>
        <w:t xml:space="preserve">44</w:t>
      </w:r>
      <w:r>
        <w:t xml:space="preserve">(4), 2020 –</w:t>
      </w:r>
      <w:r>
        <w:t xml:space="preserve"> </w:t>
      </w:r>
      <w:r>
        <w:rPr>
          <w:i/>
          <w:iCs/>
        </w:rPr>
        <w:t xml:space="preserve">“Using Online Transition Analytics to Predict Chromatography Column Failure.”</w:t>
      </w:r>
      <w:r>
        <w:t xml:space="preserve"> </w:t>
      </w:r>
      <w:r>
        <w:t xml:space="preserve">(Describes challenges of manual transition analysis and benefits of advanced real-time analytics, including 10 hours/week savings per unit and avoiding lost batches)</w:t>
      </w:r>
      <w:hyperlink r:id="rId29">
        <w:r>
          <w:rPr>
            <w:rStyle w:val="Hyperlink"/>
          </w:rPr>
          <w:t xml:space="preserve">[8]</w:t>
        </w:r>
      </w:hyperlink>
      <w:hyperlink r:id="rId34">
        <w:r>
          <w:rPr>
            <w:rStyle w:val="Hyperlink"/>
          </w:rPr>
          <w:t xml:space="preserve">[12]</w:t>
        </w:r>
      </w:hyperlink>
      <w:r>
        <w:t xml:space="preserve">.</w:t>
      </w:r>
    </w:p>
    <w:p>
      <w:pPr>
        <w:pStyle w:val="Compact"/>
        <w:numPr>
          <w:ilvl w:val="0"/>
          <w:numId w:val="1009"/>
        </w:numPr>
      </w:pPr>
      <w:r>
        <w:t xml:space="preserve">Seeq Corporation –</w:t>
      </w:r>
      <w:r>
        <w:t xml:space="preserve"> </w:t>
      </w:r>
      <w:r>
        <w:rPr>
          <w:i/>
          <w:iCs/>
        </w:rPr>
        <w:t xml:space="preserve">Use Case: “Chromatography and Transition Analysis.”</w:t>
      </w:r>
      <w:r>
        <w:t xml:space="preserve"> </w:t>
      </w:r>
      <w:r>
        <w:t xml:space="preserve">(Biotech case study where implementing Seeq analytics saved ~15 hours/week in data processing and potentially saved multiple batches worth millions by monitoring column health in near real-time)</w:t>
      </w:r>
      <w:hyperlink r:id="rId31">
        <w:r>
          <w:rPr>
            <w:rStyle w:val="Hyperlink"/>
          </w:rPr>
          <w:t xml:space="preserve">[9]</w:t>
        </w:r>
      </w:hyperlink>
      <w:r>
        <w:t xml:space="preserve">.</w:t>
      </w:r>
    </w:p>
    <w:p>
      <w:pPr>
        <w:pStyle w:val="Compact"/>
        <w:numPr>
          <w:ilvl w:val="0"/>
          <w:numId w:val="1009"/>
        </w:numPr>
      </w:pPr>
      <w:r>
        <w:t xml:space="preserve">OpenDCP (Open Data Computation Platform) –</w:t>
      </w:r>
      <w:r>
        <w:t xml:space="preserve"> </w:t>
      </w:r>
      <w:r>
        <w:rPr>
          <w:i/>
          <w:iCs/>
        </w:rPr>
        <w:t xml:space="preserve">ChromTA Module Documentation.</w:t>
      </w:r>
      <w:r>
        <w:t xml:space="preserve"> </w:t>
      </w:r>
      <w:r>
        <w:t xml:space="preserve">(Highlights how real-time, in-process chromatography data can eliminate extra labor/downtime and enable early detection of column integrity issues)</w:t>
      </w:r>
      <w:hyperlink r:id="rId46">
        <w:r>
          <w:rPr>
            <w:rStyle w:val="Hyperlink"/>
          </w:rPr>
          <w:t xml:space="preserve">[23]</w:t>
        </w:r>
      </w:hyperlink>
      <w:r>
        <w:t xml:space="preserve">.</w:t>
      </w:r>
    </w:p>
    <w:p>
      <w:pPr>
        <w:pStyle w:val="Compact"/>
        <w:numPr>
          <w:ilvl w:val="0"/>
          <w:numId w:val="1009"/>
        </w:numPr>
      </w:pPr>
      <w:r>
        <w:t xml:space="preserve">Undey, C. et al. (2009).</w:t>
      </w:r>
      <w:r>
        <w:t xml:space="preserve"> </w:t>
      </w:r>
      <w:r>
        <w:rPr>
          <w:i/>
          <w:iCs/>
        </w:rPr>
        <w:t xml:space="preserve">ADCHEM Symposium</w:t>
      </w:r>
      <w:r>
        <w:t xml:space="preserve"> </w:t>
      </w:r>
      <w:r>
        <w:t xml:space="preserve">–</w:t>
      </w:r>
      <w:r>
        <w:t xml:space="preserve"> </w:t>
      </w:r>
      <w:r>
        <w:rPr>
          <w:i/>
          <w:iCs/>
        </w:rPr>
        <w:t xml:space="preserve">“Real-time soft-sensor for bioreactor final titer prediction.”</w:t>
      </w:r>
      <w:r>
        <w:t xml:space="preserve"> </w:t>
      </w:r>
      <w:r>
        <w:t xml:space="preserve">(Demonstrated that final titer could be predicted at 50% of batch completion with &lt;1% error, enabling elimination of offline assays and schedule optimization)</w:t>
      </w:r>
      <w:hyperlink r:id="rId58">
        <w:r>
          <w:rPr>
            <w:rStyle w:val="Hyperlink"/>
          </w:rPr>
          <w:t xml:space="preserve">[31]</w:t>
        </w:r>
      </w:hyperlink>
      <w:hyperlink r:id="rId59">
        <w:r>
          <w:rPr>
            <w:rStyle w:val="Hyperlink"/>
          </w:rPr>
          <w:t xml:space="preserve">[32]</w:t>
        </w:r>
      </w:hyperlink>
      <w:r>
        <w:t xml:space="preserve">.</w:t>
      </w:r>
    </w:p>
    <w:p>
      <w:pPr>
        <w:pStyle w:val="Compact"/>
        <w:numPr>
          <w:ilvl w:val="0"/>
          <w:numId w:val="1009"/>
        </w:numPr>
      </w:pPr>
      <w:r>
        <w:t xml:space="preserve">Biogen Process Analytics Team (2019).</w:t>
      </w:r>
      <w:r>
        <w:t xml:space="preserve"> </w:t>
      </w:r>
      <w:r>
        <w:rPr>
          <w:i/>
          <w:iCs/>
        </w:rPr>
        <w:t xml:space="preserve">American Pharmaceutical Review</w:t>
      </w:r>
      <w:r>
        <w:t xml:space="preserve"> </w:t>
      </w:r>
      <w:r>
        <w:t xml:space="preserve">–</w:t>
      </w:r>
      <w:r>
        <w:t xml:space="preserve"> </w:t>
      </w:r>
      <w:r>
        <w:rPr>
          <w:i/>
          <w:iCs/>
        </w:rPr>
        <w:t xml:space="preserve">“Hybrid Model…A Digital Twin.”</w:t>
      </w:r>
      <w:r>
        <w:t xml:space="preserve"> </w:t>
      </w:r>
      <w:r>
        <w:t xml:space="preserve">(Discusses the rationale for hybrid first-principles + empirical models in bioreactors to improve control and predictions in mAb production)</w:t>
      </w:r>
      <w:hyperlink r:id="rId55">
        <w:r>
          <w:rPr>
            <w:rStyle w:val="Hyperlink"/>
          </w:rPr>
          <w:t xml:space="preserve">[29]</w:t>
        </w:r>
      </w:hyperlink>
      <w:hyperlink r:id="rId56">
        <w:r>
          <w:rPr>
            <w:rStyle w:val="Hyperlink"/>
          </w:rPr>
          <w:t xml:space="preserve">[30]</w:t>
        </w:r>
      </w:hyperlink>
      <w:r>
        <w:t xml:space="preserve">.</w:t>
      </w:r>
    </w:p>
    <w:p>
      <w:pPr>
        <w:pStyle w:val="Compact"/>
        <w:numPr>
          <w:ilvl w:val="0"/>
          <w:numId w:val="1009"/>
        </w:numPr>
      </w:pPr>
      <w:r>
        <w:t xml:space="preserve">Scoping review in</w:t>
      </w:r>
      <w:r>
        <w:t xml:space="preserve"> </w:t>
      </w:r>
      <w:r>
        <w:rPr>
          <w:i/>
          <w:iCs/>
        </w:rPr>
        <w:t xml:space="preserve">Biotechnology Reports</w:t>
      </w:r>
      <w:r>
        <w:t xml:space="preserve"> </w:t>
      </w:r>
      <w:r>
        <w:t xml:space="preserve">(2022). (Noted that machine learning models, e.g. SVMs, can accurately predict product titer days before harvest, underscoring the feasibility of early prediction)</w:t>
      </w:r>
      <w:hyperlink r:id="rId63">
        <w:r>
          <w:rPr>
            <w:rStyle w:val="Hyperlink"/>
          </w:rPr>
          <w:t xml:space="preserve">[36]</w:t>
        </w:r>
      </w:hyperlink>
      <w:r>
        <w:t xml:space="preserve">.</w:t>
      </w:r>
    </w:p>
    <w:p>
      <w:pPr>
        <w:pStyle w:val="Compact"/>
        <w:numPr>
          <w:ilvl w:val="0"/>
          <w:numId w:val="1009"/>
        </w:numPr>
      </w:pPr>
      <w:r>
        <w:t xml:space="preserve">Lucia, S. et al. (2023).</w:t>
      </w:r>
      <w:r>
        <w:t xml:space="preserve"> </w:t>
      </w:r>
      <w:r>
        <w:rPr>
          <w:i/>
          <w:iCs/>
        </w:rPr>
        <w:t xml:space="preserve">Frontiers in Chemical Engineering</w:t>
      </w:r>
      <w:r>
        <w:t xml:space="preserve"> </w:t>
      </w:r>
      <w:r>
        <w:t xml:space="preserve">–</w:t>
      </w:r>
      <w:r>
        <w:t xml:space="preserve"> </w:t>
      </w:r>
      <w:r>
        <w:rPr>
          <w:i/>
          <w:iCs/>
        </w:rPr>
        <w:t xml:space="preserve">“COSMIC-dFBA: multi-scale hybrid modeling for bioprocesses.”</w:t>
      </w:r>
      <w:r>
        <w:t xml:space="preserve"> </w:t>
      </w:r>
      <w:r>
        <w:t xml:space="preserve">(Reported predicting final cell density and titer within ~10% of actual, illustrating accuracy of hybrid models in bioprocess simulation)</w:t>
      </w:r>
      <w:hyperlink r:id="rId61">
        <w:r>
          <w:rPr>
            <w:rStyle w:val="Hyperlink"/>
          </w:rPr>
          <w:t xml:space="preserve">[34]</w:t>
        </w:r>
      </w:hyperlink>
      <w:r>
        <w:t xml:space="preserve">.</w:t>
      </w:r>
    </w:p>
    <w:bookmarkEnd w:id="68"/>
    <w:bookmarkEnd w:id="69"/>
    <w:bookmarkEnd w:id="70"/>
    <w:p>
      <w:r>
        <w:pict>
          <v:rect style="width:0;height:1.5pt" o:hralign="center" o:hrstd="t" o:hr="t"/>
        </w:pict>
      </w:r>
    </w:p>
    <w:bookmarkStart w:id="82"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9">
        <w:r>
          <w:rPr>
            <w:rStyle w:val="Hyperlink"/>
          </w:rPr>
          <w:t xml:space="preserve">[8]</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hyperlink r:id="rId23">
        <w:r>
          <w:rPr>
            <w:rStyle w:val="Hyperlink"/>
          </w:rPr>
          <w:t xml:space="preserve">[15]</w:t>
        </w:r>
      </w:hyperlink>
      <w:r>
        <w:t xml:space="preserve"> </w:t>
      </w:r>
      <w:hyperlink r:id="rId38">
        <w:r>
          <w:rPr>
            <w:rStyle w:val="Hyperlink"/>
          </w:rPr>
          <w:t xml:space="preserve">[16]</w:t>
        </w:r>
      </w:hyperlink>
      <w:r>
        <w:t xml:space="preserve"> </w:t>
      </w:r>
      <w:hyperlink r:id="rId42">
        <w:r>
          <w:rPr>
            <w:rStyle w:val="Hyperlink"/>
          </w:rPr>
          <w:t xml:space="preserve">[19]</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r>
        <w:t xml:space="preserve">Using Online Transition Analysis to Predict Chromatography Column Failure | Pharmaceutical Technology</w:t>
      </w:r>
    </w:p>
    <w:p>
      <w:pPr>
        <w:pStyle w:val="BodyText"/>
      </w:pPr>
      <w:hyperlink r:id="rId71">
        <w:r>
          <w:rPr>
            <w:rStyle w:val="Hyperlink"/>
          </w:rPr>
          <w:t xml:space="preserve">https://www.pharmtech.com/view/using-online-transition-analysis-predict-chromatography-column-failure</w:t>
        </w:r>
      </w:hyperlink>
    </w:p>
    <w:p>
      <w:pPr>
        <w:pStyle w:val="BodyText"/>
      </w:pPr>
      <w:hyperlink r:id="rId28">
        <w:r>
          <w:rPr>
            <w:rStyle w:val="Hyperlink"/>
          </w:rPr>
          <w:t xml:space="preserve">[7]</w:t>
        </w:r>
      </w:hyperlink>
      <w:r>
        <w:t xml:space="preserve"> </w:t>
      </w:r>
      <w:hyperlink r:id="rId31">
        <w:r>
          <w:rPr>
            <w:rStyle w:val="Hyperlink"/>
          </w:rPr>
          <w:t xml:space="preserve">[9]</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8">
        <w:r>
          <w:rPr>
            <w:rStyle w:val="Hyperlink"/>
          </w:rPr>
          <w:t xml:space="preserve">[25]</w:t>
        </w:r>
      </w:hyperlink>
      <w:r>
        <w:t xml:space="preserve"> </w:t>
      </w:r>
      <w:r>
        <w:t xml:space="preserve">Chromatography and Transition Analysis | Seeq</w:t>
      </w:r>
    </w:p>
    <w:p>
      <w:pPr>
        <w:pStyle w:val="BodyText"/>
      </w:pPr>
      <w:hyperlink r:id="rId72">
        <w:r>
          <w:rPr>
            <w:rStyle w:val="Hyperlink"/>
          </w:rPr>
          <w:t xml:space="preserve">https://www.seeq.com/resources/use-cases/chromatography-and-transition-analysis/</w:t>
        </w:r>
      </w:hyperlink>
    </w:p>
    <w:p>
      <w:pPr>
        <w:pStyle w:val="BodyText"/>
      </w:pPr>
      <w:hyperlink r:id="rId46">
        <w:r>
          <w:rPr>
            <w:rStyle w:val="Hyperlink"/>
          </w:rPr>
          <w:t xml:space="preserve">[23]</w:t>
        </w:r>
      </w:hyperlink>
      <w:r>
        <w:t xml:space="preserve"> </w:t>
      </w:r>
      <w:hyperlink r:id="rId47">
        <w:r>
          <w:rPr>
            <w:rStyle w:val="Hyperlink"/>
          </w:rPr>
          <w:t xml:space="preserve">[24]</w:t>
        </w:r>
      </w:hyperlink>
      <w:r>
        <w:t xml:space="preserve"> </w:t>
      </w:r>
      <w:r>
        <w:t xml:space="preserve">Chromatography Transition Analysis (ChromTA) Module - Data Computation Platform (DCP) - open-dcp.ai</w:t>
      </w:r>
    </w:p>
    <w:p>
      <w:pPr>
        <w:pStyle w:val="BodyText"/>
      </w:pPr>
      <w:hyperlink r:id="rId73">
        <w:r>
          <w:rPr>
            <w:rStyle w:val="Hyperlink"/>
          </w:rPr>
          <w:t xml:space="preserve">https://open-dcp.ai/module/chromta</w:t>
        </w:r>
      </w:hyperlink>
    </w:p>
    <w:p>
      <w:pPr>
        <w:pStyle w:val="BodyText"/>
      </w:pPr>
      <w:hyperlink r:id="rId52">
        <w:r>
          <w:rPr>
            <w:rStyle w:val="Hyperlink"/>
          </w:rPr>
          <w:t xml:space="preserve">[26]</w:t>
        </w:r>
      </w:hyperlink>
      <w:r>
        <w:t xml:space="preserve"> </w:t>
      </w:r>
      <w:hyperlink r:id="rId55">
        <w:r>
          <w:rPr>
            <w:rStyle w:val="Hyperlink"/>
          </w:rPr>
          <w:t xml:space="preserve">[29]</w:t>
        </w:r>
      </w:hyperlink>
      <w:r>
        <w:t xml:space="preserve"> </w:t>
      </w:r>
      <w:hyperlink r:id="rId56">
        <w:r>
          <w:rPr>
            <w:rStyle w:val="Hyperlink"/>
          </w:rPr>
          <w:t xml:space="preserve">[30]</w:t>
        </w:r>
      </w:hyperlink>
      <w:r>
        <w:t xml:space="preserve"> </w:t>
      </w:r>
      <w:r>
        <w:t xml:space="preserve"> </w:t>
      </w:r>
      <w:r>
        <w:t xml:space="preserve">Hybrid Model Identification for Monoclonal Antibody Production Bioreactor – A Digital Twin | American Pharmaceutical Review - The Review of American Pharmaceutical Business &amp; Technology</w:t>
      </w:r>
      <w:r>
        <w:t xml:space="preserve"> </w:t>
      </w:r>
    </w:p>
    <w:p>
      <w:pPr>
        <w:pStyle w:val="BodyText"/>
      </w:pPr>
      <w:hyperlink r:id="rId74">
        <w:r>
          <w:rPr>
            <w:rStyle w:val="Hyperlink"/>
          </w:rPr>
          <w:t xml:space="preserve">https://www.americanpharmaceuticalreview.com/Featured-Articles/517739-Hybrid-Model-Identification-for-Monoclonal-Antibody-Production-Bioreactor-A-Digital-Twin/</w:t>
        </w:r>
      </w:hyperlink>
    </w:p>
    <w:p>
      <w:pPr>
        <w:pStyle w:val="BodyText"/>
      </w:pPr>
      <w:hyperlink r:id="rId53">
        <w:r>
          <w:rPr>
            <w:rStyle w:val="Hyperlink"/>
          </w:rPr>
          <w:t xml:space="preserve">[27]</w:t>
        </w:r>
      </w:hyperlink>
      <w:r>
        <w:t xml:space="preserve"> </w:t>
      </w:r>
      <w:r>
        <w:t xml:space="preserve">Toward Machine Learning-Guided CHO Bioprocess and Media ...</w:t>
      </w:r>
    </w:p>
    <w:p>
      <w:pPr>
        <w:pStyle w:val="BodyText"/>
      </w:pPr>
      <w:hyperlink r:id="rId75">
        <w:r>
          <w:rPr>
            <w:rStyle w:val="Hyperlink"/>
          </w:rPr>
          <w:t xml:space="preserve">https://ggnpreprints.authorea.com/users/757890/articles/1313902-toward-machine-learning-guided-cho-bioprocess-and-media-optimization-for-improved-titer-and-glycosylation</w:t>
        </w:r>
      </w:hyperlink>
    </w:p>
    <w:p>
      <w:pPr>
        <w:pStyle w:val="BodyText"/>
      </w:pPr>
      <w:hyperlink r:id="rId54">
        <w:r>
          <w:rPr>
            <w:rStyle w:val="Hyperlink"/>
          </w:rPr>
          <w:t xml:space="preserve">[28]</w:t>
        </w:r>
      </w:hyperlink>
      <w:r>
        <w:t xml:space="preserve"> </w:t>
      </w:r>
      <w:r>
        <w:t xml:space="preserve">The Challenges of Soft Sensing during Upstream Processing - MDPI</w:t>
      </w:r>
    </w:p>
    <w:p>
      <w:pPr>
        <w:pStyle w:val="BodyText"/>
      </w:pPr>
      <w:hyperlink r:id="rId76">
        <w:r>
          <w:rPr>
            <w:rStyle w:val="Hyperlink"/>
          </w:rPr>
          <w:t xml:space="preserve">https://www.mdpi.com/2306-5354/10/2/229</w:t>
        </w:r>
      </w:hyperlink>
    </w:p>
    <w:p>
      <w:pPr>
        <w:pStyle w:val="BodyText"/>
      </w:pPr>
      <w:hyperlink r:id="rId58">
        <w:r>
          <w:rPr>
            <w:rStyle w:val="Hyperlink"/>
          </w:rPr>
          <w:t xml:space="preserve">[31]</w:t>
        </w:r>
      </w:hyperlink>
      <w:r>
        <w:t xml:space="preserve"> </w:t>
      </w:r>
      <w:hyperlink r:id="rId59">
        <w:r>
          <w:rPr>
            <w:rStyle w:val="Hyperlink"/>
          </w:rPr>
          <w:t xml:space="preserve">[32]</w:t>
        </w:r>
      </w:hyperlink>
      <w:r>
        <w:t xml:space="preserve"> </w:t>
      </w:r>
      <w:hyperlink r:id="rId62">
        <w:r>
          <w:rPr>
            <w:rStyle w:val="Hyperlink"/>
          </w:rPr>
          <w:t xml:space="preserve">[35]</w:t>
        </w:r>
      </w:hyperlink>
      <w:r>
        <w:t xml:space="preserve"> </w:t>
      </w:r>
      <w:r>
        <w:t xml:space="preserve">Microsoft Word - ifacconf_Undey_etal_09_FinalSubmission.doc</w:t>
      </w:r>
    </w:p>
    <w:p>
      <w:pPr>
        <w:pStyle w:val="BodyText"/>
      </w:pPr>
      <w:hyperlink r:id="rId77">
        <w:r>
          <w:rPr>
            <w:rStyle w:val="Hyperlink"/>
          </w:rPr>
          <w:t xml:space="preserve">https://skoge.folk.ntnu.no/prost/proceedings/adchem09/cd/abstract/159.pdf</w:t>
        </w:r>
      </w:hyperlink>
    </w:p>
    <w:p>
      <w:pPr>
        <w:pStyle w:val="BodyText"/>
      </w:pPr>
      <w:hyperlink r:id="rId60">
        <w:r>
          <w:rPr>
            <w:rStyle w:val="Hyperlink"/>
          </w:rPr>
          <w:t xml:space="preserve">[33]</w:t>
        </w:r>
      </w:hyperlink>
      <w:r>
        <w:t xml:space="preserve"> </w:t>
      </w:r>
      <w:r>
        <w:t xml:space="preserve">Development and validation of a hybrid model for prediction of ...</w:t>
      </w:r>
    </w:p>
    <w:p>
      <w:pPr>
        <w:pStyle w:val="BodyText"/>
      </w:pPr>
      <w:hyperlink r:id="rId78">
        <w:r>
          <w:rPr>
            <w:rStyle w:val="Hyperlink"/>
          </w:rPr>
          <w:t xml:space="preserve">https://www.sciencedirect.com/science/article/pii/S0098135424000668</w:t>
        </w:r>
      </w:hyperlink>
    </w:p>
    <w:p>
      <w:pPr>
        <w:pStyle w:val="BodyText"/>
      </w:pPr>
      <w:hyperlink r:id="rId61">
        <w:r>
          <w:rPr>
            <w:rStyle w:val="Hyperlink"/>
          </w:rPr>
          <w:t xml:space="preserve">[34]</w:t>
        </w:r>
      </w:hyperlink>
      <w:r>
        <w:t xml:space="preserve"> </w:t>
      </w:r>
      <w:r>
        <w:t xml:space="preserve">COSMIC-dFBA: A novel multi-scale hybrid framework for bioprocess ...</w:t>
      </w:r>
    </w:p>
    <w:p>
      <w:pPr>
        <w:pStyle w:val="BodyText"/>
      </w:pPr>
      <w:hyperlink r:id="rId79">
        <w:r>
          <w:rPr>
            <w:rStyle w:val="Hyperlink"/>
          </w:rPr>
          <w:t xml:space="preserve">https://www.biorxiv.org/content/10.1101/2023.09.13.557646v1.full-text</w:t>
        </w:r>
      </w:hyperlink>
    </w:p>
    <w:p>
      <w:pPr>
        <w:pStyle w:val="BodyText"/>
      </w:pPr>
      <w:hyperlink r:id="rId63">
        <w:r>
          <w:rPr>
            <w:rStyle w:val="Hyperlink"/>
          </w:rPr>
          <w:t xml:space="preserve">[36]</w:t>
        </w:r>
      </w:hyperlink>
      <w:r>
        <w:t xml:space="preserve"> </w:t>
      </w:r>
      <w:r>
        <w:t xml:space="preserve">A scoping review of supervised learning modelling and data-driven ...</w:t>
      </w:r>
    </w:p>
    <w:p>
      <w:pPr>
        <w:pStyle w:val="BodyText"/>
      </w:pPr>
      <w:hyperlink r:id="rId80">
        <w:r>
          <w:rPr>
            <w:rStyle w:val="Hyperlink"/>
          </w:rPr>
          <w:t xml:space="preserve">https://www.sciencedirect.com/science/article/pii/S2772508122000710</w:t>
        </w:r>
      </w:hyperlink>
    </w:p>
    <w:p>
      <w:pPr>
        <w:pStyle w:val="BodyText"/>
      </w:pPr>
      <w:hyperlink r:id="rId65">
        <w:r>
          <w:rPr>
            <w:rStyle w:val="Hyperlink"/>
          </w:rPr>
          <w:t xml:space="preserve">[37]</w:t>
        </w:r>
      </w:hyperlink>
      <w:r>
        <w:t xml:space="preserve"> </w:t>
      </w:r>
      <w:r>
        <w:t xml:space="preserve">Model‐based control of titer and glycosylation in fed‐batch mAb ...</w:t>
      </w:r>
    </w:p>
    <w:p>
      <w:pPr>
        <w:pStyle w:val="BodyText"/>
      </w:pPr>
      <w:hyperlink r:id="rId81">
        <w:r>
          <w:rPr>
            <w:rStyle w:val="Hyperlink"/>
          </w:rPr>
          <w:t xml:space="preserve">https://aiche.onlinelibrary.wiley.com/doi/10.1002/aic.18075</w:t>
        </w:r>
      </w:hyperlink>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1" Target="https://aiche.onlinelibrary.wiley.com/doi/10.1002/aic.18075" TargetMode="External" /><Relationship Type="http://schemas.openxmlformats.org/officeDocument/2006/relationships/hyperlink" Id="rId65" Target="https://aiche.onlinelibrary.wiley.com/doi/10.1002/aic.18075#:~:text=Model%E2%80%90based%20control%20of%20titer%20and,batch%20cell%20culture%20process" TargetMode="External" /><Relationship Type="http://schemas.openxmlformats.org/officeDocument/2006/relationships/hyperlink" Id="rId75" Target="https://ggnpreprints.authorea.com/users/757890/articles/1313902-toward-machine-learning-guided-cho-bioprocess-and-media-optimization-for-improved-titer-and-glycosylation" TargetMode="External" /><Relationship Type="http://schemas.openxmlformats.org/officeDocument/2006/relationships/hyperlink" Id="rId53" Target="https://ggnpreprints.authorea.com/users/757890/articles/1313902-toward-machine-learning-guided-cho-bioprocess-and-media-optimization-for-improved-titer-and-glycosylation#:~:text=The%20models%20achieve%20high%20predictive,model%20significantly%20reduced%20prediction" TargetMode="External" /><Relationship Type="http://schemas.openxmlformats.org/officeDocument/2006/relationships/hyperlink" Id="rId73" Target="https://open-dcp.ai/module/chromta" TargetMode="External" /><Relationship Type="http://schemas.openxmlformats.org/officeDocument/2006/relationships/hyperlink" Id="rId47" Target="https://open-dcp.ai/module/chromta#:~:text=Benefits" TargetMode="External" /><Relationship Type="http://schemas.openxmlformats.org/officeDocument/2006/relationships/hyperlink" Id="rId46" Target="https://open-dcp.ai/module/chromta#:~:text=By%20harnessing%20real,for%20additional%20labor%20or%20downtime" TargetMode="External" /><Relationship Type="http://schemas.openxmlformats.org/officeDocument/2006/relationships/hyperlink" Id="rId77" Target="https://skoge.folk.ntnu.no/prost/proceedings/adchem09/cd/abstract/159.pdf" TargetMode="External" /><Relationship Type="http://schemas.openxmlformats.org/officeDocument/2006/relationships/hyperlink" Id="rId58" Target="https://skoge.folk.ntnu.no/prost/proceedings/adchem09/cd/abstract/159.pdf#:~:text=Final%20Titer%20is%20used%20as,outputs%20such%20as%20pH%2C%20O2" TargetMode="External" /><Relationship Type="http://schemas.openxmlformats.org/officeDocument/2006/relationships/hyperlink" Id="rId62" Target="https://skoge.folk.ntnu.no/prost/proceedings/adchem09/cd/abstract/159.pdf#:~:text=final%20titer%20prediction%20for%20a,SENSORS%20FOR" TargetMode="External" /><Relationship Type="http://schemas.openxmlformats.org/officeDocument/2006/relationships/hyperlink" Id="rId59" Target="https://skoge.folk.ntnu.no/prost/proceedings/adchem09/cd/abstract/159.pdf#:~:text=flow%20and%20bioreactor%20volume%20as,SENSORS%20FOR" TargetMode="External" /><Relationship Type="http://schemas.openxmlformats.org/officeDocument/2006/relationships/hyperlink" Id="rId74" Target="https://www.americanpharmaceuticalreview.com/Featured-Articles/517739-Hybrid-Model-Identification-for-Monoclonal-Antibody-Production-Bioreactor-A-Digital-Twin/" TargetMode="External" /><Relationship Type="http://schemas.openxmlformats.org/officeDocument/2006/relationships/hyperlink" Id="rId56" Target="https://www.americanpharmaceuticalreview.com/Featured-Articles/517739-Hybrid-Model-Identification-for-Monoclonal-Antibody-Production-Bioreactor-A-Digital-Twin/#:~:text=Empirical%20models%20require%20a%20significant,and%20the%20flexibility%20of%20empirical" TargetMode="External" /><Relationship Type="http://schemas.openxmlformats.org/officeDocument/2006/relationships/hyperlink" Id="rId52" Target="https://www.americanpharmaceuticalreview.com/Featured-Articles/517739-Hybrid-Model-Identification-for-Monoclonal-Antibody-Production-Bioreactor-A-Digital-Twin/#:~:text=Empirical%20models%20require%20a%20significant,hybrid%20models%20can%20bring" TargetMode="External" /><Relationship Type="http://schemas.openxmlformats.org/officeDocument/2006/relationships/hyperlink" Id="rId55" Target="https://www.americanpharmaceuticalreview.com/Featured-Articles/517739-Hybrid-Model-Identification-for-Monoclonal-Antibody-Production-Bioreactor-A-Digital-Twin/#:~:text=It%20is%20advisable%20that%20models,a%20high%20titer%20production%20bioreactor" TargetMode="External" /><Relationship Type="http://schemas.openxmlformats.org/officeDocument/2006/relationships/hyperlink" Id="rId79" Target="https://www.biorxiv.org/content/10.1101/2023.09.13.557646v1.full-text" TargetMode="External" /><Relationship Type="http://schemas.openxmlformats.org/officeDocument/2006/relationships/hyperlink" Id="rId61" Target="https://www.biorxiv.org/content/10.1101/2023.09.13.557646v1.full-text#:~:text=...%20www.biorxiv.org%20%20Using%20COSMIC,to%20a%20standard%20dFBA" TargetMode="External" /><Relationship Type="http://schemas.openxmlformats.org/officeDocument/2006/relationships/hyperlink" Id="rId76" Target="https://www.mdpi.com/2306-5354/10/2/229" TargetMode="External" /><Relationship Type="http://schemas.openxmlformats.org/officeDocument/2006/relationships/hyperlink" Id="rId54" Target="https://www.mdpi.com/2306-5354/10/2/229#:~:text=The%20Challenges%20of%20Soft%20Sensing,CPP%2C%20such%20as%20cell" TargetMode="External" /><Relationship Type="http://schemas.openxmlformats.org/officeDocument/2006/relationships/hyperlink" Id="rId71" Target="https://www.pharmtech.com/view/using-online-transition-analysis-predict-chromatography-column-failure" TargetMode="External" /><Relationship Type="http://schemas.openxmlformats.org/officeDocument/2006/relationships/hyperlink" Id="rId23" Target="https://www.pharmtech.com/view/using-online-transition-analysis-predict-chromatography-column-failure#:~:text=A%20number%20of%20pharmaceutical%20companies,entirety%20of%20the%20transition%20period" TargetMode="External" /><Relationship Type="http://schemas.openxmlformats.org/officeDocument/2006/relationships/hyperlink" Id="rId26" Target="https://www.pharmtech.com/view/using-online-transition-analysis-predict-chromatography-column-failure#:~:text=Alternatively%2C%20scientists%20and%20engineers%20can,used%20in%20place%20of%20asymmetry" TargetMode="External" /><Relationship Type="http://schemas.openxmlformats.org/officeDocument/2006/relationships/hyperlink" Id="rId22" Target="https://www.pharmtech.com/view/using-online-transition-analysis-predict-chromatography-column-failure#:~:text=Challenges" TargetMode="External" /><Relationship Type="http://schemas.openxmlformats.org/officeDocument/2006/relationships/hyperlink" Id="rId36" Target="https://www.pharmtech.com/view/using-online-transition-analysis-predict-chromatography-column-failure#:~:text=First%2C%20after%20data%20have%20been,with%20each%20respective%20chromatography%20column" TargetMode="External" /><Relationship Type="http://schemas.openxmlformats.org/officeDocument/2006/relationships/hyperlink" Id="rId27" Target="https://www.pharmtech.com/view/using-online-transition-analysis-predict-chromatography-column-failure#:~:text=Furthermore%2C%20a%20considerable%20amount%20of,failure%20before%20it%20takes%20place" TargetMode="External" /><Relationship Type="http://schemas.openxmlformats.org/officeDocument/2006/relationships/hyperlink" Id="rId29" Target="https://www.pharmtech.com/view/using-online-transition-analysis-predict-chromatography-column-failure#:~:text=Pharmaceutical%20companies%20have%20utilized%20advanced,action%20prior%20to%20column%20failure" TargetMode="External" /><Relationship Type="http://schemas.openxmlformats.org/officeDocument/2006/relationships/hyperlink" Id="rId43" Target="https://www.pharmtech.com/view/using-online-transition-analysis-predict-chromatography-column-failure#:~:text=Process%20analytics%20can%20be%20used,completion%20of%20the%20transition%20period" TargetMode="External" /><Relationship Type="http://schemas.openxmlformats.org/officeDocument/2006/relationships/hyperlink" Id="rId37" Target="https://www.pharmtech.com/view/using-online-transition-analysis-predict-chromatography-column-failure#:~:text=The%20need%20for%20data%20cleansing" TargetMode="External" /><Relationship Type="http://schemas.openxmlformats.org/officeDocument/2006/relationships/hyperlink" Id="rId38" Target="https://www.pharmtech.com/view/using-online-transition-analysis-predict-chromatography-column-failure#:~:text=advanced%20analytics%20application,quality%20deviations%2C%20and%20lost%20batches" TargetMode="External" /><Relationship Type="http://schemas.openxmlformats.org/officeDocument/2006/relationships/hyperlink" Id="rId24" Target="https://www.pharmtech.com/view/using-online-transition-analysis-predict-chromatography-column-failure#:~:text=are%20evaluated%20and%20reported%20as,to%20characterize%20chromatography%20column%20performance" TargetMode="External" /><Relationship Type="http://schemas.openxmlformats.org/officeDocument/2006/relationships/hyperlink" Id="rId33" Target="https://www.pharmtech.com/view/using-online-transition-analysis-predict-chromatography-column-failure#:~:text=cleansing%20to%20remove%20outliers%20%28e,entirety%20of%20the%20transition%20period" TargetMode="External" /><Relationship Type="http://schemas.openxmlformats.org/officeDocument/2006/relationships/hyperlink" Id="rId45" Target="https://www.pharmtech.com/view/using-online-transition-analysis-predict-chromatography-column-failure#:~:text=component%20analysis%2C%20enables%20the%20extrapolation,quality%20deviations%2C%20and%20lost%20batches" TargetMode="External" /><Relationship Type="http://schemas.openxmlformats.org/officeDocument/2006/relationships/hyperlink" Id="rId44" Target="https://www.pharmtech.com/view/using-online-transition-analysis-predict-chromatography-column-failure#:~:text=monitor%20chromatography%20column%20health%20by,action%20prior%20to%20column%20failure" TargetMode="External" /><Relationship Type="http://schemas.openxmlformats.org/officeDocument/2006/relationships/hyperlink" Id="rId42" Target="https://www.pharmtech.com/view/using-online-transition-analysis-predict-chromatography-column-failure#:~:text=of%20up%20to%2010%20hours,action%20prior%20to%20column%20failure" TargetMode="External" /><Relationship Type="http://schemas.openxmlformats.org/officeDocument/2006/relationships/hyperlink" Id="rId25" Target="https://www.pharmtech.com/view/using-online-transition-analysis-predict-chromatography-column-failure#:~:text=particularly%20when%20there%20is%20additional,because%20they%20require%20moment%20analysis" TargetMode="External" /><Relationship Type="http://schemas.openxmlformats.org/officeDocument/2006/relationships/hyperlink" Id="rId34" Target="https://www.pharmtech.com/view/using-online-transition-analysis-predict-chromatography-column-failure#:~:text=reworked%20batches%2C%20reducing%20product%20yield,updating%20dashboards" TargetMode="External" /><Relationship Type="http://schemas.openxmlformats.org/officeDocument/2006/relationships/hyperlink" Id="rId32" Target="https://www.pharmtech.com/view/using-online-transition-analysis-predict-chromatography-column-failure#:~:text=subtle%20changes%20in%20data%20trends,sensors%20must%20be%20accurately%20calibrated" TargetMode="External" /><Relationship Type="http://schemas.openxmlformats.org/officeDocument/2006/relationships/hyperlink" Id="rId78" Target="https://www.sciencedirect.com/science/article/pii/S0098135424000668" TargetMode="External" /><Relationship Type="http://schemas.openxmlformats.org/officeDocument/2006/relationships/hyperlink" Id="rId60" Target="https://www.sciencedirect.com/science/article/pii/S0098135424000668#:~:text=,This%20hybrid%20model" TargetMode="External" /><Relationship Type="http://schemas.openxmlformats.org/officeDocument/2006/relationships/hyperlink" Id="rId80" Target="https://www.sciencedirect.com/science/article/pii/S2772508122000710" TargetMode="External" /><Relationship Type="http://schemas.openxmlformats.org/officeDocument/2006/relationships/hyperlink" Id="rId63" Target="https://www.sciencedirect.com/science/article/pii/S2772508122000710#:~:text=,The%20relations%2Fcorrelations%20between" TargetMode="External" /><Relationship Type="http://schemas.openxmlformats.org/officeDocument/2006/relationships/hyperlink" Id="rId72" Target="https://www.seeq.com/resources/use-cases/chromatography-and-transition-analysis/" TargetMode="External" /><Relationship Type="http://schemas.openxmlformats.org/officeDocument/2006/relationships/hyperlink" Id="rId28" Target="https://www.seeq.com/resources/use-cases/chromatography-and-transition-analysis/#:~:text=Chromatography%20is%20a%20key%20unit,potential%20loss%20of%20a%20batch" TargetMode="External" /><Relationship Type="http://schemas.openxmlformats.org/officeDocument/2006/relationships/hyperlink" Id="rId31" Target="https://www.seeq.com/resources/use-cases/chromatography-and-transition-analysis/#:~:text=Chromatography%20peak%20calculations%20for%20quality,potentially%20saving%20millions%20of%20dollars" TargetMode="External" /><Relationship Type="http://schemas.openxmlformats.org/officeDocument/2006/relationships/hyperlink" Id="rId48" Target="https://www.seeq.com/resources/use-cases/chromatography-and-transition-analysis/#:~:text=DirectAf%20methods%20to%20track%20column,time" TargetMode="External" /><Relationship Type="http://schemas.openxmlformats.org/officeDocument/2006/relationships/hyperlink" Id="rId40" Target="https://www.seeq.com/resources/use-cases/chromatography-and-transition-analysis/#:~:text=Reporting%20and%20Collaboration" TargetMode="External" /><Relationship Type="http://schemas.openxmlformats.org/officeDocument/2006/relationships/hyperlink" Id="rId39" Target="https://www.seeq.com/resources/use-cases/chromatography-and-transition-analysis/#:~:text=the%20analyses%20were%20then%20shared,time" TargetMode="External" /></Relationships>
</file>

<file path=word/_rels/footnotes.xml.rels><?xml version="1.0" encoding="UTF-8"?><Relationships xmlns="http://schemas.openxmlformats.org/package/2006/relationships"><Relationship Type="http://schemas.openxmlformats.org/officeDocument/2006/relationships/hyperlink" Id="rId81" Target="https://aiche.onlinelibrary.wiley.com/doi/10.1002/aic.18075" TargetMode="External" /><Relationship Type="http://schemas.openxmlformats.org/officeDocument/2006/relationships/hyperlink" Id="rId65" Target="https://aiche.onlinelibrary.wiley.com/doi/10.1002/aic.18075#:~:text=Model%E2%80%90based%20control%20of%20titer%20and,batch%20cell%20culture%20process" TargetMode="External" /><Relationship Type="http://schemas.openxmlformats.org/officeDocument/2006/relationships/hyperlink" Id="rId75" Target="https://ggnpreprints.authorea.com/users/757890/articles/1313902-toward-machine-learning-guided-cho-bioprocess-and-media-optimization-for-improved-titer-and-glycosylation" TargetMode="External" /><Relationship Type="http://schemas.openxmlformats.org/officeDocument/2006/relationships/hyperlink" Id="rId53" Target="https://ggnpreprints.authorea.com/users/757890/articles/1313902-toward-machine-learning-guided-cho-bioprocess-and-media-optimization-for-improved-titer-and-glycosylation#:~:text=The%20models%20achieve%20high%20predictive,model%20significantly%20reduced%20prediction" TargetMode="External" /><Relationship Type="http://schemas.openxmlformats.org/officeDocument/2006/relationships/hyperlink" Id="rId73" Target="https://open-dcp.ai/module/chromta" TargetMode="External" /><Relationship Type="http://schemas.openxmlformats.org/officeDocument/2006/relationships/hyperlink" Id="rId47" Target="https://open-dcp.ai/module/chromta#:~:text=Benefits" TargetMode="External" /><Relationship Type="http://schemas.openxmlformats.org/officeDocument/2006/relationships/hyperlink" Id="rId46" Target="https://open-dcp.ai/module/chromta#:~:text=By%20harnessing%20real,for%20additional%20labor%20or%20downtime" TargetMode="External" /><Relationship Type="http://schemas.openxmlformats.org/officeDocument/2006/relationships/hyperlink" Id="rId77" Target="https://skoge.folk.ntnu.no/prost/proceedings/adchem09/cd/abstract/159.pdf" TargetMode="External" /><Relationship Type="http://schemas.openxmlformats.org/officeDocument/2006/relationships/hyperlink" Id="rId58" Target="https://skoge.folk.ntnu.no/prost/proceedings/adchem09/cd/abstract/159.pdf#:~:text=Final%20Titer%20is%20used%20as,outputs%20such%20as%20pH%2C%20O2" TargetMode="External" /><Relationship Type="http://schemas.openxmlformats.org/officeDocument/2006/relationships/hyperlink" Id="rId62" Target="https://skoge.folk.ntnu.no/prost/proceedings/adchem09/cd/abstract/159.pdf#:~:text=final%20titer%20prediction%20for%20a,SENSORS%20FOR" TargetMode="External" /><Relationship Type="http://schemas.openxmlformats.org/officeDocument/2006/relationships/hyperlink" Id="rId59" Target="https://skoge.folk.ntnu.no/prost/proceedings/adchem09/cd/abstract/159.pdf#:~:text=flow%20and%20bioreactor%20volume%20as,SENSORS%20FOR" TargetMode="External" /><Relationship Type="http://schemas.openxmlformats.org/officeDocument/2006/relationships/hyperlink" Id="rId74" Target="https://www.americanpharmaceuticalreview.com/Featured-Articles/517739-Hybrid-Model-Identification-for-Monoclonal-Antibody-Production-Bioreactor-A-Digital-Twin/" TargetMode="External" /><Relationship Type="http://schemas.openxmlformats.org/officeDocument/2006/relationships/hyperlink" Id="rId56" Target="https://www.americanpharmaceuticalreview.com/Featured-Articles/517739-Hybrid-Model-Identification-for-Monoclonal-Antibody-Production-Bioreactor-A-Digital-Twin/#:~:text=Empirical%20models%20require%20a%20significant,and%20the%20flexibility%20of%20empirical" TargetMode="External" /><Relationship Type="http://schemas.openxmlformats.org/officeDocument/2006/relationships/hyperlink" Id="rId52" Target="https://www.americanpharmaceuticalreview.com/Featured-Articles/517739-Hybrid-Model-Identification-for-Monoclonal-Antibody-Production-Bioreactor-A-Digital-Twin/#:~:text=Empirical%20models%20require%20a%20significant,hybrid%20models%20can%20bring" TargetMode="External" /><Relationship Type="http://schemas.openxmlformats.org/officeDocument/2006/relationships/hyperlink" Id="rId55" Target="https://www.americanpharmaceuticalreview.com/Featured-Articles/517739-Hybrid-Model-Identification-for-Monoclonal-Antibody-Production-Bioreactor-A-Digital-Twin/#:~:text=It%20is%20advisable%20that%20models,a%20high%20titer%20production%20bioreactor" TargetMode="External" /><Relationship Type="http://schemas.openxmlformats.org/officeDocument/2006/relationships/hyperlink" Id="rId79" Target="https://www.biorxiv.org/content/10.1101/2023.09.13.557646v1.full-text" TargetMode="External" /><Relationship Type="http://schemas.openxmlformats.org/officeDocument/2006/relationships/hyperlink" Id="rId61" Target="https://www.biorxiv.org/content/10.1101/2023.09.13.557646v1.full-text#:~:text=...%20www.biorxiv.org%20%20Using%20COSMIC,to%20a%20standard%20dFBA" TargetMode="External" /><Relationship Type="http://schemas.openxmlformats.org/officeDocument/2006/relationships/hyperlink" Id="rId76" Target="https://www.mdpi.com/2306-5354/10/2/229" TargetMode="External" /><Relationship Type="http://schemas.openxmlformats.org/officeDocument/2006/relationships/hyperlink" Id="rId54" Target="https://www.mdpi.com/2306-5354/10/2/229#:~:text=The%20Challenges%20of%20Soft%20Sensing,CPP%2C%20such%20as%20cell" TargetMode="External" /><Relationship Type="http://schemas.openxmlformats.org/officeDocument/2006/relationships/hyperlink" Id="rId71" Target="https://www.pharmtech.com/view/using-online-transition-analysis-predict-chromatography-column-failure" TargetMode="External" /><Relationship Type="http://schemas.openxmlformats.org/officeDocument/2006/relationships/hyperlink" Id="rId23" Target="https://www.pharmtech.com/view/using-online-transition-analysis-predict-chromatography-column-failure#:~:text=A%20number%20of%20pharmaceutical%20companies,entirety%20of%20the%20transition%20period" TargetMode="External" /><Relationship Type="http://schemas.openxmlformats.org/officeDocument/2006/relationships/hyperlink" Id="rId26" Target="https://www.pharmtech.com/view/using-online-transition-analysis-predict-chromatography-column-failure#:~:text=Alternatively%2C%20scientists%20and%20engineers%20can,used%20in%20place%20of%20asymmetry" TargetMode="External" /><Relationship Type="http://schemas.openxmlformats.org/officeDocument/2006/relationships/hyperlink" Id="rId22" Target="https://www.pharmtech.com/view/using-online-transition-analysis-predict-chromatography-column-failure#:~:text=Challenges" TargetMode="External" /><Relationship Type="http://schemas.openxmlformats.org/officeDocument/2006/relationships/hyperlink" Id="rId36" Target="https://www.pharmtech.com/view/using-online-transition-analysis-predict-chromatography-column-failure#:~:text=First%2C%20after%20data%20have%20been,with%20each%20respective%20chromatography%20column" TargetMode="External" /><Relationship Type="http://schemas.openxmlformats.org/officeDocument/2006/relationships/hyperlink" Id="rId27" Target="https://www.pharmtech.com/view/using-online-transition-analysis-predict-chromatography-column-failure#:~:text=Furthermore%2C%20a%20considerable%20amount%20of,failure%20before%20it%20takes%20place" TargetMode="External" /><Relationship Type="http://schemas.openxmlformats.org/officeDocument/2006/relationships/hyperlink" Id="rId29" Target="https://www.pharmtech.com/view/using-online-transition-analysis-predict-chromatography-column-failure#:~:text=Pharmaceutical%20companies%20have%20utilized%20advanced,action%20prior%20to%20column%20failure" TargetMode="External" /><Relationship Type="http://schemas.openxmlformats.org/officeDocument/2006/relationships/hyperlink" Id="rId43" Target="https://www.pharmtech.com/view/using-online-transition-analysis-predict-chromatography-column-failure#:~:text=Process%20analytics%20can%20be%20used,completion%20of%20the%20transition%20period" TargetMode="External" /><Relationship Type="http://schemas.openxmlformats.org/officeDocument/2006/relationships/hyperlink" Id="rId37" Target="https://www.pharmtech.com/view/using-online-transition-analysis-predict-chromatography-column-failure#:~:text=The%20need%20for%20data%20cleansing" TargetMode="External" /><Relationship Type="http://schemas.openxmlformats.org/officeDocument/2006/relationships/hyperlink" Id="rId38" Target="https://www.pharmtech.com/view/using-online-transition-analysis-predict-chromatography-column-failure#:~:text=advanced%20analytics%20application,quality%20deviations%2C%20and%20lost%20batches" TargetMode="External" /><Relationship Type="http://schemas.openxmlformats.org/officeDocument/2006/relationships/hyperlink" Id="rId24" Target="https://www.pharmtech.com/view/using-online-transition-analysis-predict-chromatography-column-failure#:~:text=are%20evaluated%20and%20reported%20as,to%20characterize%20chromatography%20column%20performance" TargetMode="External" /><Relationship Type="http://schemas.openxmlformats.org/officeDocument/2006/relationships/hyperlink" Id="rId33" Target="https://www.pharmtech.com/view/using-online-transition-analysis-predict-chromatography-column-failure#:~:text=cleansing%20to%20remove%20outliers%20%28e,entirety%20of%20the%20transition%20period" TargetMode="External" /><Relationship Type="http://schemas.openxmlformats.org/officeDocument/2006/relationships/hyperlink" Id="rId45" Target="https://www.pharmtech.com/view/using-online-transition-analysis-predict-chromatography-column-failure#:~:text=component%20analysis%2C%20enables%20the%20extrapolation,quality%20deviations%2C%20and%20lost%20batches" TargetMode="External" /><Relationship Type="http://schemas.openxmlformats.org/officeDocument/2006/relationships/hyperlink" Id="rId44" Target="https://www.pharmtech.com/view/using-online-transition-analysis-predict-chromatography-column-failure#:~:text=monitor%20chromatography%20column%20health%20by,action%20prior%20to%20column%20failure" TargetMode="External" /><Relationship Type="http://schemas.openxmlformats.org/officeDocument/2006/relationships/hyperlink" Id="rId42" Target="https://www.pharmtech.com/view/using-online-transition-analysis-predict-chromatography-column-failure#:~:text=of%20up%20to%2010%20hours,action%20prior%20to%20column%20failure" TargetMode="External" /><Relationship Type="http://schemas.openxmlformats.org/officeDocument/2006/relationships/hyperlink" Id="rId25" Target="https://www.pharmtech.com/view/using-online-transition-analysis-predict-chromatography-column-failure#:~:text=particularly%20when%20there%20is%20additional,because%20they%20require%20moment%20analysis" TargetMode="External" /><Relationship Type="http://schemas.openxmlformats.org/officeDocument/2006/relationships/hyperlink" Id="rId34" Target="https://www.pharmtech.com/view/using-online-transition-analysis-predict-chromatography-column-failure#:~:text=reworked%20batches%2C%20reducing%20product%20yield,updating%20dashboards" TargetMode="External" /><Relationship Type="http://schemas.openxmlformats.org/officeDocument/2006/relationships/hyperlink" Id="rId32" Target="https://www.pharmtech.com/view/using-online-transition-analysis-predict-chromatography-column-failure#:~:text=subtle%20changes%20in%20data%20trends,sensors%20must%20be%20accurately%20calibrated" TargetMode="External" /><Relationship Type="http://schemas.openxmlformats.org/officeDocument/2006/relationships/hyperlink" Id="rId78" Target="https://www.sciencedirect.com/science/article/pii/S0098135424000668" TargetMode="External" /><Relationship Type="http://schemas.openxmlformats.org/officeDocument/2006/relationships/hyperlink" Id="rId60" Target="https://www.sciencedirect.com/science/article/pii/S0098135424000668#:~:text=,This%20hybrid%20model" TargetMode="External" /><Relationship Type="http://schemas.openxmlformats.org/officeDocument/2006/relationships/hyperlink" Id="rId80" Target="https://www.sciencedirect.com/science/article/pii/S2772508122000710" TargetMode="External" /><Relationship Type="http://schemas.openxmlformats.org/officeDocument/2006/relationships/hyperlink" Id="rId63" Target="https://www.sciencedirect.com/science/article/pii/S2772508122000710#:~:text=,The%20relations%2Fcorrelations%20between" TargetMode="External" /><Relationship Type="http://schemas.openxmlformats.org/officeDocument/2006/relationships/hyperlink" Id="rId72" Target="https://www.seeq.com/resources/use-cases/chromatography-and-transition-analysis/" TargetMode="External" /><Relationship Type="http://schemas.openxmlformats.org/officeDocument/2006/relationships/hyperlink" Id="rId28" Target="https://www.seeq.com/resources/use-cases/chromatography-and-transition-analysis/#:~:text=Chromatography%20is%20a%20key%20unit,potential%20loss%20of%20a%20batch" TargetMode="External" /><Relationship Type="http://schemas.openxmlformats.org/officeDocument/2006/relationships/hyperlink" Id="rId31" Target="https://www.seeq.com/resources/use-cases/chromatography-and-transition-analysis/#:~:text=Chromatography%20peak%20calculations%20for%20quality,potentially%20saving%20millions%20of%20dollars" TargetMode="External" /><Relationship Type="http://schemas.openxmlformats.org/officeDocument/2006/relationships/hyperlink" Id="rId48" Target="https://www.seeq.com/resources/use-cases/chromatography-and-transition-analysis/#:~:text=DirectAf%20methods%20to%20track%20column,time" TargetMode="External" /><Relationship Type="http://schemas.openxmlformats.org/officeDocument/2006/relationships/hyperlink" Id="rId40" Target="https://www.seeq.com/resources/use-cases/chromatography-and-transition-analysis/#:~:text=Reporting%20and%20Collaboration" TargetMode="External" /><Relationship Type="http://schemas.openxmlformats.org/officeDocument/2006/relationships/hyperlink" Id="rId39" Target="https://www.seeq.com/resources/use-cases/chromatography-and-transition-analysis/#:~:text=the%20analyses%20were%20then%20shared,ti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2025-11-24T21:50:27Z</dcterms:created>
  <dcterms:modified xsi:type="dcterms:W3CDTF">2025-11-24T21:50:27Z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