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1" w:name="content"/>
    <w:bookmarkStart w:id="30" w:name="X9ee88aa51b008cb87922038c1fb65456239282d"/>
    <w:p>
      <w:pPr>
        <w:pStyle w:val="Heading1"/>
      </w:pPr>
      <w:r>
        <w:t xml:space="preserve">Supplement B – Data‑of‑interest Register and Patterns</w:t>
      </w:r>
    </w:p>
    <w:bookmarkStart w:id="23" w:name="introduction"/>
    <w:p>
      <w:pPr>
        <w:pStyle w:val="Heading2"/>
      </w:pPr>
      <w:r>
        <w:t xml:space="preserve">1 Introduction</w:t>
      </w:r>
    </w:p>
    <w:p>
      <w:pPr>
        <w:pStyle w:val="FirstParagraph"/>
      </w:pPr>
      <w:r>
        <w:t xml:space="preserve">1.1 This register identifies data categories that must be captured, contextualised and governed in a GxP‑compliant manufacturing environment. It provides examples of typical data elements, recommended event patterns and an assessment of data criticality and risk.</w:t>
      </w:r>
    </w:p>
    <w:p>
      <w:pPr>
        <w:pStyle w:val="BodyText"/>
      </w:pPr>
      <w:r>
        <w:t xml:space="preserve">1.2 Data criticality reflects the decision that the data influences and its impact on product quality and safety</w:t>
      </w:r>
      <w:hyperlink r:id="rId21">
        <w:r>
          <w:rPr>
            <w:rStyle w:val="Hyperlink"/>
          </w:rPr>
          <w:t xml:space="preserve">[1]</w:t>
        </w:r>
      </w:hyperlink>
      <w:r>
        <w:t xml:space="preserve">. Data risk reflects the vulnerability of data to alteration, deletion or loss and the likelihood of detection</w:t>
      </w:r>
      <w:hyperlink r:id="rId22">
        <w:r>
          <w:rPr>
            <w:rStyle w:val="Hyperlink"/>
          </w:rPr>
          <w:t xml:space="preserve">[2]</w:t>
        </w:r>
      </w:hyperlink>
      <w:r>
        <w:t xml:space="preserve">. Classification guides the selection of assurance activities (e.g., scripted vs unscripted testing) and controls.</w:t>
      </w:r>
    </w:p>
    <w:bookmarkEnd w:id="23"/>
    <w:bookmarkStart w:id="26" w:name="categories-of-data-and-events"/>
    <w:p>
      <w:pPr>
        <w:pStyle w:val="Heading2"/>
      </w:pPr>
      <w:r>
        <w:t xml:space="preserve">2 Categories of data and events</w:t>
      </w:r>
    </w:p>
    <w:p>
      <w:pPr>
        <w:pStyle w:val="FirstParagraph"/>
      </w:pPr>
      <w:r>
        <w:t xml:space="preserve">2.1 </w:t>
      </w:r>
      <w:r>
        <w:rPr>
          <w:b/>
          <w:bCs/>
        </w:rPr>
        <w:t xml:space="preserve">Process time‑series data</w:t>
      </w:r>
      <w:r>
        <w:t xml:space="preserve"> </w:t>
      </w:r>
      <w:r>
        <w:t xml:space="preserve">– Continuous measurements such as temperatures, pressures, flows, weights, pH, conductivity and other analog or digital values recorded by DeltaV Continuous Historian and PI. Data elements include tag identifier, unit name, timestamp, value, engineering units, status flags (good/bad quality) and sequence number. Criticality is high when the data verify critical quality attributes (e.g., bioreactor temperature) and moderate or low for auxiliary parameters. Pattern: publish at a defined sampling interval (e.g., 1 s to 1 min) with metadata; store in historian and data lake.</w:t>
      </w:r>
    </w:p>
    <w:p>
      <w:pPr>
        <w:pStyle w:val="BodyText"/>
      </w:pPr>
      <w:r>
        <w:t xml:space="preserve">2.2 </w:t>
      </w:r>
      <w:r>
        <w:rPr>
          <w:b/>
          <w:bCs/>
        </w:rPr>
        <w:t xml:space="preserve">Batch events</w:t>
      </w:r>
      <w:r>
        <w:t xml:space="preserve"> </w:t>
      </w:r>
      <w:r>
        <w:t xml:space="preserve">– Events representing execution of batch recipes, including batch start/end, unit‑procedure start/end, phase start/end, step transition and hold/abort events. Captured in DeltaV Batch Journal, Event Chronicle and PI Event Frames. Data elements include batch ID, unit name, recipe phase/step identifier, start and end timestamps, operator or system initiating the event and reason codes. Criticality is high because batch events support product release decisions and process performance monitoring. Pattern: group events into a hierarchical event frame; publish start/end events with correlation identifiers; capture triggers from the event chronicle</w:t>
      </w:r>
      <w:hyperlink r:id="rId24">
        <w:r>
          <w:rPr>
            <w:rStyle w:val="Hyperlink"/>
          </w:rPr>
          <w:t xml:space="preserve">[3]</w:t>
        </w:r>
      </w:hyperlink>
      <w:r>
        <w:t xml:space="preserve">.</w:t>
      </w:r>
    </w:p>
    <w:p>
      <w:pPr>
        <w:pStyle w:val="BodyText"/>
      </w:pPr>
      <w:r>
        <w:t xml:space="preserve">2.3 </w:t>
      </w:r>
      <w:r>
        <w:rPr>
          <w:b/>
          <w:bCs/>
        </w:rPr>
        <w:t xml:space="preserve">Alarms</w:t>
      </w:r>
      <w:r>
        <w:t xml:space="preserve"> </w:t>
      </w:r>
      <w:r>
        <w:t xml:space="preserve">– Conditions requiring operator attention, including process alarms (e.g., high/low limits), safety instrumented system (SIS) alarms and equipment status alarms. The DeltaV Event Chronicle captures process, safety, batch and sequence‑of‑events alarms</w:t>
      </w:r>
      <w:hyperlink r:id="rId24">
        <w:r>
          <w:rPr>
            <w:rStyle w:val="Hyperlink"/>
          </w:rPr>
          <w:t xml:space="preserve">[3]</w:t>
        </w:r>
      </w:hyperlink>
      <w:r>
        <w:t xml:space="preserve">. Data elements include alarm ID, tag or equipment, priority, alarm class, message text, timestamps for set and cleared states, acknowledgement time and operator action. Criticality is high for alarms associated with critical quality attributes or safety interlocks and moderate for non‑critical equipment status. Pattern: publish set, acknowledge and clear events; include sequence number and quality flags; route to SCADA and alarm management systems.</w:t>
      </w:r>
    </w:p>
    <w:p>
      <w:pPr>
        <w:pStyle w:val="BodyText"/>
      </w:pPr>
      <w:r>
        <w:t xml:space="preserve">2.4 </w:t>
      </w:r>
      <w:r>
        <w:rPr>
          <w:b/>
          <w:bCs/>
        </w:rPr>
        <w:t xml:space="preserve">Audit trails and user actions</w:t>
      </w:r>
      <w:r>
        <w:t xml:space="preserve"> </w:t>
      </w:r>
      <w:r>
        <w:t xml:space="preserve">– Records of operator logins/logouts, parameter changes, recipe downloads, manual inputs and overrides. Captured by DeltaV Event Chronicle and SCADA audit logs. Data elements include user ID, workstation, timestamp, action description, before/after values and authorisation code. Criticality is high, as audit trails demonstrate ALCOA+ and compliance. Pattern: generate events for each user action; include digital signatures where required; store in an event database with tamper‑evident mechanisms and replicate to the data lake.</w:t>
      </w:r>
    </w:p>
    <w:p>
      <w:pPr>
        <w:pStyle w:val="BodyText"/>
      </w:pPr>
      <w:r>
        <w:t xml:space="preserve">2.5 </w:t>
      </w:r>
      <w:r>
        <w:rPr>
          <w:b/>
          <w:bCs/>
        </w:rPr>
        <w:t xml:space="preserve">Safety and sequence‑of‑events (SOE) data</w:t>
      </w:r>
      <w:r>
        <w:t xml:space="preserve"> </w:t>
      </w:r>
      <w:r>
        <w:t xml:space="preserve">– High‑resolution events generated by safety instrumented systems or SOE cards, including device status, trips, interlocks and diagnostic messages. Captured by Event Chronicle and configured as the System SOE Collector</w:t>
      </w:r>
      <w:hyperlink r:id="rId25">
        <w:r>
          <w:rPr>
            <w:rStyle w:val="Hyperlink"/>
          </w:rPr>
          <w:t xml:space="preserve">[4]</w:t>
        </w:r>
      </w:hyperlink>
      <w:r>
        <w:t xml:space="preserve">. Data elements include device identifier, event code, timestamp with millisecond resolution, input state and diagnostic codes. Criticality is high due to impact on safety. Pattern: publish events immediately upon occurrence; maintain microsecond ordering; store in both the event database and historian.</w:t>
      </w:r>
    </w:p>
    <w:p>
      <w:pPr>
        <w:pStyle w:val="BodyText"/>
      </w:pPr>
      <w:r>
        <w:t xml:space="preserve">2.6 </w:t>
      </w:r>
      <w:r>
        <w:rPr>
          <w:b/>
          <w:bCs/>
        </w:rPr>
        <w:t xml:space="preserve">Material and equipment allocation events</w:t>
      </w:r>
      <w:r>
        <w:t xml:space="preserve"> </w:t>
      </w:r>
      <w:r>
        <w:t xml:space="preserve">– Events describing the assignment of materials (lots, consignments) to batches and the allocation of equipment (units, vessels, instruments) to batches or procedures. Data elements include batch ID, material ID, equipment ID, allocation time, operator or system performing the allocation and quantity or capacity. Criticality is high if allocation affects product genealogy and moderate for non‑critical consumables. Pattern: publish events at the time of allocation; maintain correlation with batch events and record in genealogy systems; store in the data lake for genealogy queries.</w:t>
      </w:r>
    </w:p>
    <w:p>
      <w:pPr>
        <w:pStyle w:val="BodyText"/>
      </w:pPr>
      <w:r>
        <w:t xml:space="preserve">2.7 </w:t>
      </w:r>
      <w:r>
        <w:rPr>
          <w:b/>
          <w:bCs/>
        </w:rPr>
        <w:t xml:space="preserve">Control commands and setpoint changes (control/arbitration)</w:t>
      </w:r>
      <w:r>
        <w:t xml:space="preserve"> </w:t>
      </w:r>
      <w:r>
        <w:t xml:space="preserve">– Events representing changes to setpoints, mode switches (e.g., manual–auto–cascade), remote start/stop commands or control arbitration decisions. Data elements include tag or control module, new value or mode, old value, timestamp, authorised user, reason code and approval signature if required. Criticality is high when commands influence critical quality attributes or safety and moderate when adjusting non‑critical parameters. Pattern: intercept commands via HighByte or SCADA; require authorisation and electronic signatures; publish before and after values; record to audit trail and event database.</w:t>
      </w:r>
    </w:p>
    <w:p>
      <w:pPr>
        <w:pStyle w:val="BodyText"/>
      </w:pPr>
      <w:r>
        <w:t xml:space="preserve">2.8 </w:t>
      </w:r>
      <w:r>
        <w:rPr>
          <w:b/>
          <w:bCs/>
        </w:rPr>
        <w:t xml:space="preserve">Quality and laboratory results</w:t>
      </w:r>
      <w:r>
        <w:t xml:space="preserve"> </w:t>
      </w:r>
      <w:r>
        <w:t xml:space="preserve">– Results from in‑process tests (e.g., bioburden, pH, turbidity, concentration) and laboratory analyses (e.g., HPLC results, potency assays). Data elements include sample ID, test name, result value, units, timestamp, analyst, instrument ID and pass/fail status. Criticality is high, as these results influence batch release decisions</w:t>
      </w:r>
      <w:hyperlink r:id="rId21">
        <w:r>
          <w:rPr>
            <w:rStyle w:val="Hyperlink"/>
          </w:rPr>
          <w:t xml:space="preserve">[1]</w:t>
        </w:r>
      </w:hyperlink>
      <w:r>
        <w:t xml:space="preserve">. Pattern: integrate via LIMS or QMS into the data lake; maintain linkage to batch IDs; publish summarised results via event frames or MQTT topics for downstream analytics.</w:t>
      </w:r>
    </w:p>
    <w:p>
      <w:pPr>
        <w:pStyle w:val="BodyText"/>
      </w:pPr>
      <w:r>
        <w:t xml:space="preserve">2.9 </w:t>
      </w:r>
      <w:r>
        <w:rPr>
          <w:b/>
          <w:bCs/>
        </w:rPr>
        <w:t xml:space="preserve">Environmental and facility monitoring</w:t>
      </w:r>
      <w:r>
        <w:t xml:space="preserve"> </w:t>
      </w:r>
      <w:r>
        <w:t xml:space="preserve">– Data from facility monitoring systems (FMS) such as cleanroom particle counts, temperature, humidity, differential pressures, water system conductivity and microbial counts. Data elements include monitoring point, value, units, timestamp, status and alarm thresholds. Criticality is high if environmental excursions can impact product quality (e.g., sterile manufacturing) and moderate for non‑critical utilities. Pattern: collect high‑frequency time‑series data; publish threshold‑exceedance events; store continuous data in PI and event data in the Event DB.</w:t>
      </w:r>
    </w:p>
    <w:p>
      <w:pPr>
        <w:pStyle w:val="BodyText"/>
      </w:pPr>
      <w:r>
        <w:t xml:space="preserve">2.10 </w:t>
      </w:r>
      <w:r>
        <w:rPr>
          <w:b/>
          <w:bCs/>
        </w:rPr>
        <w:t xml:space="preserve">Maintenance and calibration records</w:t>
      </w:r>
      <w:r>
        <w:t xml:space="preserve"> </w:t>
      </w:r>
      <w:r>
        <w:t xml:space="preserve">– Events recording planned and unplanned maintenance, equipment calibration, sensor replacement and cleaning. Data elements include equipment ID, maintenance type, start and end times, technician, calibrated values, calibration status and next due date. Criticality is moderate to high depending on equipment’s impact on product quality. Pattern: generate events when maintenance or calibration is scheduled, started and completed; integrate with CMMS (computerised maintenance management system); store events in the data lake for compliance reporting.</w:t>
      </w:r>
    </w:p>
    <w:bookmarkEnd w:id="26"/>
    <w:bookmarkStart w:id="27" w:name="event-patterns-and-metadata"/>
    <w:p>
      <w:pPr>
        <w:pStyle w:val="Heading2"/>
      </w:pPr>
      <w:r>
        <w:t xml:space="preserve">3 Event patterns and metadata</w:t>
      </w:r>
    </w:p>
    <w:p>
      <w:pPr>
        <w:pStyle w:val="FirstParagraph"/>
      </w:pPr>
      <w:r>
        <w:t xml:space="preserve">3.1 For each category, events should include (a) a unique identifier and namespace path, (b) a timestamp in ISO 8601 with millisecond precision and a source time quality flag, (c) a sequence number and message type (e.g., set/start, update, end, acknowledge), (d) contextual metadata such as unit, batch ID or sample ID, (e) status or quality flags (good, uncertain, bad) and (f) digital signature or user authentication information when required.</w:t>
      </w:r>
    </w:p>
    <w:p>
      <w:pPr>
        <w:pStyle w:val="BodyText"/>
      </w:pPr>
      <w:r>
        <w:t xml:space="preserve">3.2 Using consistent patterns simplifies consumption by downstream systems and supports deterministic behaviour. Sparkplug B payloads include metrics with names, alias IDs, datatypes and quality; the same structure can be extended for non‑Sparkplug topics.</w:t>
      </w:r>
    </w:p>
    <w:bookmarkEnd w:id="27"/>
    <w:bookmarkStart w:id="29" w:name="data-criticality-and-risk-classification"/>
    <w:p>
      <w:pPr>
        <w:pStyle w:val="Heading2"/>
      </w:pPr>
      <w:r>
        <w:t xml:space="preserve">4 Data criticality and risk classification</w:t>
      </w:r>
    </w:p>
    <w:p>
      <w:pPr>
        <w:pStyle w:val="FirstParagraph"/>
      </w:pPr>
      <w:r>
        <w:t xml:space="preserve">4.1 Each data category should be evaluated for its criticality (impact on decision‑making and product quality) and data risk (vulnerability to alteration, deletion or loss) according to PIC/S guidance</w:t>
      </w:r>
      <w:hyperlink r:id="rId28">
        <w:r>
          <w:rPr>
            <w:rStyle w:val="Hyperlink"/>
          </w:rPr>
          <w:t xml:space="preserve">[5]</w:t>
        </w:r>
      </w:hyperlink>
      <w:r>
        <w:t xml:space="preserve">.</w:t>
      </w:r>
    </w:p>
    <w:p>
      <w:pPr>
        <w:pStyle w:val="BodyText"/>
      </w:pPr>
      <w:r>
        <w:t xml:space="preserve">4.2 High criticality and high risk demand the most stringent controls: tight sampling intervals, redundant storage, electronic signatures, scripted verification and periodic review of audit trails. Moderate criticality or low risk may justify unscripted or exploratory testing and reduced retention periods.</w:t>
      </w:r>
    </w:p>
    <w:p>
      <w:pPr>
        <w:pStyle w:val="BodyText"/>
      </w:pPr>
      <w:r>
        <w:t xml:space="preserve">4.3 Document the rationale for classification and ensure that the chosen controls (technical and procedural) align with the risk assessment. Update the register as processes change, and use it to prioritise assurance activities during validation and ongoing monitoring.</w:t>
      </w:r>
    </w:p>
    <w:bookmarkEnd w:id="29"/>
    <w:bookmarkEnd w:id="30"/>
    <w:bookmarkEnd w:id="31"/>
    <w:p>
      <w:r>
        <w:pict>
          <v:rect style="width:0;height:1.5pt" o:hralign="center" o:hrstd="t" o:hr="t"/>
        </w:pict>
      </w:r>
    </w:p>
    <w:bookmarkStart w:id="3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[5]</w:t>
        </w:r>
      </w:hyperlink>
      <w:r>
        <w:t xml:space="preserve"> </w:t>
      </w:r>
      <w:r>
        <w:t xml:space="preserve">Guidance on Data Integrity</w:t>
      </w:r>
    </w:p>
    <w:p>
      <w:pPr>
        <w:pStyle w:val="BodyText"/>
      </w:pPr>
      <w:hyperlink r:id="rId32">
        <w:r>
          <w:rPr>
            <w:rStyle w:val="Hyperlink"/>
          </w:rPr>
          <w:t xml:space="preserve">https://picscheme.org/docview/4234</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White Paper: DeltaV Event Chronicle</w:t>
      </w:r>
    </w:p>
    <w:p>
      <w:pPr>
        <w:pStyle w:val="BodyText"/>
      </w:pPr>
      <w:hyperlink r:id="rId33">
        <w:r>
          <w:rPr>
            <w:rStyle w:val="Hyperlink"/>
          </w:rPr>
          <w:t xml:space="preserve">https://www.emerson.com/documents/automation/white-paper-deltav-event-chronicle-en-55962.pdf</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picscheme.org/docview/4234" TargetMode="External" /><Relationship Type="http://schemas.openxmlformats.org/officeDocument/2006/relationships/hyperlink" Id="rId28" Target="https://picscheme.org/docview/4234#:~:text=5,importance%20and%20the%20impact%20of" TargetMode="External" /><Relationship Type="http://schemas.openxmlformats.org/officeDocument/2006/relationships/hyperlink" Id="rId22" Target="https://picscheme.org/docview/4234#:~:text=5,used%20as%20risk%20mitigating%20actions" TargetMode="External" /><Relationship Type="http://schemas.openxmlformats.org/officeDocument/2006/relationships/hyperlink" Id="rId21" Target="https://picscheme.org/docview/4234#:~:text=8%20of%2063%201%20July,2021" TargetMode="External" /><Relationship Type="http://schemas.openxmlformats.org/officeDocument/2006/relationships/hyperlink" Id="rId33" Target="https://www.emerson.com/documents/automation/white-paper-deltav-event-chronicle-en-55962.pdf" TargetMode="External" /><Relationship Type="http://schemas.openxmlformats.org/officeDocument/2006/relationships/hyperlink" Id="rId24" Target="https://www.emerson.com/documents/automation/white-paper-deltav-event-chronicle-en-55962.pdf#:~:text=An%20event%20is%20any%20noteworthy,DeltaV%20application%20used%20to%20view" TargetMode="External" /><Relationship Type="http://schemas.openxmlformats.org/officeDocument/2006/relationships/hyperlink" Id="rId25" Target="https://www.emerson.com/documents/automation/white-paper-deltav-event-chronicle-en-55962.pdf#:~:text=events%2C%20log%20messages%20and%20user,Event%20Chronicle%20database%20stores%20process" TargetMode="External" /></Relationships>
</file>

<file path=word/_rels/footnotes.xml.rels><?xml version="1.0" encoding="UTF-8"?><Relationships xmlns="http://schemas.openxmlformats.org/package/2006/relationships"><Relationship Type="http://schemas.openxmlformats.org/officeDocument/2006/relationships/hyperlink" Id="rId32" Target="https://picscheme.org/docview/4234" TargetMode="External" /><Relationship Type="http://schemas.openxmlformats.org/officeDocument/2006/relationships/hyperlink" Id="rId28" Target="https://picscheme.org/docview/4234#:~:text=5,importance%20and%20the%20impact%20of" TargetMode="External" /><Relationship Type="http://schemas.openxmlformats.org/officeDocument/2006/relationships/hyperlink" Id="rId22" Target="https://picscheme.org/docview/4234#:~:text=5,used%20as%20risk%20mitigating%20actions" TargetMode="External" /><Relationship Type="http://schemas.openxmlformats.org/officeDocument/2006/relationships/hyperlink" Id="rId21" Target="https://picscheme.org/docview/4234#:~:text=8%20of%2063%201%20July,2021" TargetMode="External" /><Relationship Type="http://schemas.openxmlformats.org/officeDocument/2006/relationships/hyperlink" Id="rId33" Target="https://www.emerson.com/documents/automation/white-paper-deltav-event-chronicle-en-55962.pdf" TargetMode="External" /><Relationship Type="http://schemas.openxmlformats.org/officeDocument/2006/relationships/hyperlink" Id="rId24" Target="https://www.emerson.com/documents/automation/white-paper-deltav-event-chronicle-en-55962.pdf#:~:text=An%20event%20is%20any%20noteworthy,DeltaV%20application%20used%20to%20view" TargetMode="External" /><Relationship Type="http://schemas.openxmlformats.org/officeDocument/2006/relationships/hyperlink" Id="rId25" Target="https://www.emerson.com/documents/automation/white-paper-deltav-event-chronicle-en-55962.pdf#:~:text=events%2C%20log%20messages%20and%20user,Event%20Chronicle%20database%20stores%20proc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2026-02-03T18:41:58Z</dcterms:created>
  <dcterms:modified xsi:type="dcterms:W3CDTF">2026-02-03T18:41:58Z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