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56b698cd4a1e1748250e0b528d6fc2cbd679d50"/>
    <w:p>
      <w:pPr>
        <w:pStyle w:val="Heading1"/>
      </w:pPr>
      <w:r>
        <w:t xml:space="preserve">Supplement A – Recommended System Design (On‑Premises Focus)</w:t>
      </w:r>
    </w:p>
    <w:bookmarkStart w:id="21" w:name="design-objectives"/>
    <w:p>
      <w:pPr>
        <w:pStyle w:val="Heading2"/>
      </w:pPr>
      <w:r>
        <w:t xml:space="preserve">1 Design objectives</w:t>
      </w:r>
    </w:p>
    <w:p>
      <w:pPr>
        <w:pStyle w:val="FirstParagraph"/>
      </w:pPr>
      <w:r>
        <w:t xml:space="preserve">1.1 The recommended system design must support deterministic event delivery, regulatory compliance and scalability. It should allow segregation between the control network and the enterprise network, provide a reliable path for data to flow from DeltaV to the unified namespace, and enable consumption by SCADA, historians, event databases and the data lake.</w:t>
      </w:r>
    </w:p>
    <w:p>
      <w:pPr>
        <w:pStyle w:val="BodyText"/>
      </w:pPr>
      <w:r>
        <w:t xml:space="preserve">1.2 High availability and redundancy are required to ensure continuous operation; all components should be maintainable without production downtime.</w:t>
      </w:r>
    </w:p>
    <w:p>
      <w:pPr>
        <w:pStyle w:val="BodyText"/>
      </w:pPr>
      <w:r>
        <w:t xml:space="preserve">1.3 Regulatory requirements demand time synchronisation, audit trails and security across all layers. Every interface must preserve ALCOA+ attributes, including attributable timestamps, original values and context.</w:t>
      </w:r>
    </w:p>
    <w:bookmarkEnd w:id="21"/>
    <w:bookmarkStart w:id="24" w:name="physical-and-network-architecture"/>
    <w:p>
      <w:pPr>
        <w:pStyle w:val="Heading2"/>
      </w:pPr>
      <w:r>
        <w:t xml:space="preserve">2 Physical and network architecture</w:t>
      </w:r>
    </w:p>
    <w:p>
      <w:pPr>
        <w:pStyle w:val="FirstParagraph"/>
      </w:pPr>
      <w:r>
        <w:t xml:space="preserve">2.1 At the lowest layer, the DeltaV control network connects controllers, I/O cards and operator stations. To integrate multiple DeltaV systems, an Inter‑Zone network provides a dedicated, fully redundant 1 Gbit s⁻¹ Ethernet backbone with redundant servers and network equipment</w:t>
      </w:r>
      <w:hyperlink r:id="rId22">
        <w:r>
          <w:rPr>
            <w:rStyle w:val="Hyperlink"/>
          </w:rPr>
          <w:t xml:space="preserve">[1]</w:t>
        </w:r>
      </w:hyperlink>
      <w:r>
        <w:t xml:space="preserve">. This network transports operator and control data between zones, with performance tested up to 20 000 parameters per second</w:t>
      </w:r>
      <w:hyperlink r:id="rId23">
        <w:r>
          <w:rPr>
            <w:rStyle w:val="Hyperlink"/>
          </w:rPr>
          <w:t xml:space="preserve">[2]</w:t>
        </w:r>
      </w:hyperlink>
      <w:r>
        <w:t xml:space="preserve">.</w:t>
      </w:r>
    </w:p>
    <w:p>
      <w:pPr>
        <w:pStyle w:val="BodyText"/>
      </w:pPr>
      <w:r>
        <w:t xml:space="preserve">2.2 A separate plant‑wide network (often referred to as Level 3) hosts the HighByte Intelligence Hub, HiveMQ broker, Ignition SCADA, PI historian and event databases. This network provides connectivity to enterprise systems and is segregated from the control network by industrial firewalls. Within the plant‑wide network, HighByte is deployed close to the DeltaV OPC servers to reduce latency. HiveMQ is deployed as a cluster of brokers in a demilitarised zone (DMZ) with redundant instances and persistent storage.</w:t>
      </w:r>
    </w:p>
    <w:p>
      <w:pPr>
        <w:pStyle w:val="BodyText"/>
      </w:pPr>
      <w:r>
        <w:t xml:space="preserve">2.3 Ignition and PI servers reside behind another firewall within the IT domain and connect to HiveMQ and HighByte via MQTT, OPC UA or PI connectors. Only necessary ports are opened across firewalls, and all communications use TLS with x.509 certificates.</w:t>
      </w:r>
    </w:p>
    <w:bookmarkEnd w:id="24"/>
    <w:bookmarkStart w:id="25" w:name="component-placement-and-interactions"/>
    <w:p>
      <w:pPr>
        <w:pStyle w:val="Heading2"/>
      </w:pPr>
      <w:r>
        <w:t xml:space="preserve">3 Component placement and interactions</w:t>
      </w:r>
    </w:p>
    <w:p>
      <w:pPr>
        <w:pStyle w:val="FirstParagraph"/>
      </w:pPr>
      <w:r>
        <w:t xml:space="preserve">3.1 DeltaV controllers and operator stations remain on the control network. The HighByte hub connects to the DeltaV OPC DA/UA servers and the Event Chronicle database via read‑only connections.</w:t>
      </w:r>
    </w:p>
    <w:p>
      <w:pPr>
        <w:pStyle w:val="BodyText"/>
      </w:pPr>
      <w:r>
        <w:t xml:space="preserve">3.2 HighByte models tags and events into Sparkplug B payloads and publishes them to the HiveMQ cluster using QoS 1 or 2 with retained messages for last‑value caching.</w:t>
      </w:r>
    </w:p>
    <w:p>
      <w:pPr>
        <w:pStyle w:val="BodyText"/>
      </w:pPr>
      <w:r>
        <w:t xml:space="preserve">3.3 HiveMQ brokers replicate data to each cluster member and provide failover. Ignition subscribes to the unified namespace for visualisation, alarming and control; it also writes commands back through separate control topics, which are routed through HighByte to DeltaV with appropriate mode/permission checks.</w:t>
      </w:r>
    </w:p>
    <w:p>
      <w:pPr>
        <w:pStyle w:val="BodyText"/>
      </w:pPr>
      <w:r>
        <w:t xml:space="preserve">3.4 The PI interface subscribes to data via HighByte or directly from DeltaV to store continuous and batch data. Event data are persisted in an Event DB for quick queries and in PI event frames for long‑term storage.</w:t>
      </w:r>
    </w:p>
    <w:p>
      <w:pPr>
        <w:pStyle w:val="BodyText"/>
      </w:pPr>
      <w:r>
        <w:t xml:space="preserve">3.5 The data‑lake ingestion service connects to HiveMQ and PI to ingest raw and refined data into the raw zone of the data lake; it also reads event tables from the Event DB. The data lake then exposes curated tables to enterprise analytics and MES/eBR systems.</w:t>
      </w:r>
    </w:p>
    <w:bookmarkEnd w:id="25"/>
    <w:bookmarkStart w:id="26" w:name="security-and-segmentation-considerations"/>
    <w:p>
      <w:pPr>
        <w:pStyle w:val="Heading2"/>
      </w:pPr>
      <w:r>
        <w:t xml:space="preserve">4 Security and segmentation considerations</w:t>
      </w:r>
    </w:p>
    <w:p>
      <w:pPr>
        <w:pStyle w:val="FirstParagraph"/>
      </w:pPr>
      <w:r>
        <w:t xml:space="preserve">4.1 Segregate networks using ISA‑95/Purdue levels. Only one conduit should connect the control network to the plant‑wide network via the HighByte hub; this conduit should be protected by industrial firewalls, intrusion detection and unidirectional gateways where feasible.</w:t>
      </w:r>
    </w:p>
    <w:p>
      <w:pPr>
        <w:pStyle w:val="BodyText"/>
      </w:pPr>
      <w:r>
        <w:t xml:space="preserve">4.2 The Inter‑Zone network remains dedicated for DeltaV communication and should not carry general IT traffic</w:t>
      </w:r>
      <w:hyperlink r:id="rId22">
        <w:r>
          <w:rPr>
            <w:rStyle w:val="Hyperlink"/>
          </w:rPr>
          <w:t xml:space="preserve">[1]</w:t>
        </w:r>
      </w:hyperlink>
      <w:r>
        <w:t xml:space="preserve">. Use TLS 1.3 with x.509 certificates for all MQTT and OPC UA communications; implement role‑based access controls on HiveMQ and Ignition.</w:t>
      </w:r>
    </w:p>
    <w:p>
      <w:pPr>
        <w:pStyle w:val="BodyText"/>
      </w:pPr>
      <w:r>
        <w:t xml:space="preserve">4.3 Map topics and data flows to user roles; for example, read‑only topics for analytics and read/write topics for SCADA control with electronic signatures. Leverage Active Directory or other identity providers for central authentication and multi‑factor authentication.</w:t>
      </w:r>
    </w:p>
    <w:p>
      <w:pPr>
        <w:pStyle w:val="BodyText"/>
      </w:pPr>
      <w:r>
        <w:t xml:space="preserve">4.4 Harden servers by disabling unused services, applying patches and limiting physical access. Ensure that backup and disaster recovery procedures cover all components, including cluster configurations and certificates.</w:t>
      </w:r>
    </w:p>
    <w:bookmarkEnd w:id="26"/>
    <w:bookmarkStart w:id="27" w:name="high-availability-and-redundancy"/>
    <w:p>
      <w:pPr>
        <w:pStyle w:val="Heading2"/>
      </w:pPr>
      <w:r>
        <w:t xml:space="preserve">5 High availability and redundancy</w:t>
      </w:r>
    </w:p>
    <w:p>
      <w:pPr>
        <w:pStyle w:val="FirstParagraph"/>
      </w:pPr>
      <w:r>
        <w:t xml:space="preserve">5.1 Deploy DeltaV nodes with redundant controllers and I/O cards. The Inter‑Zone network includes redundant network switches and duplicate zone servers</w:t>
      </w:r>
      <w:hyperlink r:id="rId22">
        <w:r>
          <w:rPr>
            <w:rStyle w:val="Hyperlink"/>
          </w:rPr>
          <w:t xml:space="preserve">[1]</w:t>
        </w:r>
      </w:hyperlink>
      <w:r>
        <w:t xml:space="preserve">.</w:t>
      </w:r>
    </w:p>
    <w:p>
      <w:pPr>
        <w:pStyle w:val="BodyText"/>
      </w:pPr>
      <w:r>
        <w:t xml:space="preserve">5.2 HighByte should be configured with redundant edge nodes or containers; it supports store‑and‑forward to survive network disruptions.</w:t>
      </w:r>
    </w:p>
    <w:p>
      <w:pPr>
        <w:pStyle w:val="BodyText"/>
      </w:pPr>
      <w:r>
        <w:t xml:space="preserve">5.3 HiveMQ brokers run in a clustered mode with replicated state so that if a node fails, clients automatically reconnect to another broker. Ignition uses redundant front‑end servers with a shared database for redundancy. PI historians may be configured in collectives for failover.</w:t>
      </w:r>
    </w:p>
    <w:p>
      <w:pPr>
        <w:pStyle w:val="BodyText"/>
      </w:pPr>
      <w:r>
        <w:t xml:space="preserve">5.4 For the Event DB and data‑lake ingestion service, deploy primary‑secondary clusters with automatic failover and replication. Use UPS and generator power for all critical servers.</w:t>
      </w:r>
    </w:p>
    <w:bookmarkEnd w:id="27"/>
    <w:bookmarkStart w:id="29" w:name="Xe95dd918b407cafb279cca7dd3061430be23719"/>
    <w:p>
      <w:pPr>
        <w:pStyle w:val="Heading2"/>
      </w:pPr>
      <w:r>
        <w:t xml:space="preserve">6 Time synchronisation and event determinism</w:t>
      </w:r>
    </w:p>
    <w:p>
      <w:pPr>
        <w:pStyle w:val="FirstParagraph"/>
      </w:pPr>
      <w:r>
        <w:t xml:space="preserve">6.1 All components must synchronise clocks using an NTP/PTP hierarchy; DeltaV controllers and operator stations should be the primary time source. HiveMQ and HighByte rely on accurate timestamps to preserve event order.</w:t>
      </w:r>
    </w:p>
    <w:p>
      <w:pPr>
        <w:pStyle w:val="BodyText"/>
      </w:pPr>
      <w:r>
        <w:t xml:space="preserve">6.2 Data published through MQTT should include timestamps, sequence numbers and quality flags. The Inter‑Zone network performance adds approximately one second of latency between zones</w:t>
      </w:r>
      <w:hyperlink r:id="rId28">
        <w:r>
          <w:rPr>
            <w:rStyle w:val="Hyperlink"/>
          </w:rPr>
          <w:t xml:space="preserve">[3]</w:t>
        </w:r>
      </w:hyperlink>
      <w:r>
        <w:t xml:space="preserve">, which must be considered when designing interlock and feedforward logic.</w:t>
      </w:r>
    </w:p>
    <w:p>
      <w:pPr>
        <w:pStyle w:val="BodyText"/>
      </w:pPr>
      <w:r>
        <w:t xml:space="preserve">6.3 Use MQTT QoS 2 where deterministic delivery is essential, and configure persistent sessions so that messages are not lost during reconnection. Monitor network latency and adjust application timeouts accordingly.</w:t>
      </w:r>
    </w:p>
    <w:bookmarkEnd w:id="29"/>
    <w:bookmarkEnd w:id="30"/>
    <w:bookmarkEnd w:id="31"/>
    <w:p>
      <w:r>
        <w:pict>
          <v:rect style="width:0;height:1.5pt" o:hralign="center" o:hrstd="t" o:hr="t"/>
        </w:pict>
      </w:r>
    </w:p>
    <w:bookmarkStart w:id="33"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8">
        <w:r>
          <w:rPr>
            <w:rStyle w:val="Hyperlink"/>
          </w:rPr>
          <w:t xml:space="preserve">[3]</w:t>
        </w:r>
      </w:hyperlink>
      <w:r>
        <w:t xml:space="preserve"> </w:t>
      </w:r>
      <w:r>
        <w:t xml:space="preserve">DeltaV Zones</w:t>
      </w:r>
    </w:p>
    <w:p>
      <w:pPr>
        <w:pStyle w:val="BodyText"/>
      </w:pPr>
      <w:hyperlink r:id="rId32">
        <w:r>
          <w:rPr>
            <w:rStyle w:val="Hyperlink"/>
          </w:rPr>
          <w:t xml:space="preserve">https://www.emerson.com/documents/automation/product-data-sheet-deltav-zones-deltav-en-56272.pdf</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www.emerson.com/documents/automation/product-data-sheet-deltav-zones-deltav-en-56272.pdf" TargetMode="External" /><Relationship Type="http://schemas.openxmlformats.org/officeDocument/2006/relationships/hyperlink" Id="rId22" Target="https://www.emerson.com/documents/automation/product-data-sheet-deltav-zones-deltav-en-56272.pdf#:~:text=3%20Large%20or%20Geographically%20Dispersed,Zone%20communications" TargetMode="External" /><Relationship Type="http://schemas.openxmlformats.org/officeDocument/2006/relationships/hyperlink" Id="rId23" Target="https://www.emerson.com/documents/automation/product-data-sheet-deltav-zones-deltav-en-56272.pdf#:~:text=3%20Large%20or%20Geographically%20Dispersed,per%20second%20in%20each%20direction" TargetMode="External" /><Relationship Type="http://schemas.openxmlformats.org/officeDocument/2006/relationships/hyperlink" Id="rId28" Target="https://www.emerson.com/documents/automation/product-data-sheet-deltav-zones-deltav-en-56272.pdf#:~:text=On%20average%2C%20the%20communication%20time,another%20zone%20within%202%20seconds" TargetMode="External" /></Relationships>
</file>

<file path=word/_rels/footnotes.xml.rels><?xml version="1.0" encoding="UTF-8"?><Relationships xmlns="http://schemas.openxmlformats.org/package/2006/relationships"><Relationship Type="http://schemas.openxmlformats.org/officeDocument/2006/relationships/hyperlink" Id="rId32" Target="https://www.emerson.com/documents/automation/product-data-sheet-deltav-zones-deltav-en-56272.pdf" TargetMode="External" /><Relationship Type="http://schemas.openxmlformats.org/officeDocument/2006/relationships/hyperlink" Id="rId22" Target="https://www.emerson.com/documents/automation/product-data-sheet-deltav-zones-deltav-en-56272.pdf#:~:text=3%20Large%20or%20Geographically%20Dispersed,Zone%20communications" TargetMode="External" /><Relationship Type="http://schemas.openxmlformats.org/officeDocument/2006/relationships/hyperlink" Id="rId23" Target="https://www.emerson.com/documents/automation/product-data-sheet-deltav-zones-deltav-en-56272.pdf#:~:text=3%20Large%20or%20Geographically%20Dispersed,per%20second%20in%20each%20direction" TargetMode="External" /><Relationship Type="http://schemas.openxmlformats.org/officeDocument/2006/relationships/hyperlink" Id="rId28" Target="https://www.emerson.com/documents/automation/product-data-sheet-deltav-zones-deltav-en-56272.pdf#:~:text=On%20average%2C%20the%20communication%20time,another%20zone%20within%202%20seco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2026-02-03T18:41:36Z</dcterms:created>
  <dcterms:modified xsi:type="dcterms:W3CDTF">2026-02-03T18:41:36Z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