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982663891b5f6769f709bcf462b57fb23644dd4"/>
    <w:p>
      <w:pPr>
        <w:pStyle w:val="Heading1"/>
      </w:pPr>
      <w:r>
        <w:t xml:space="preserve">Playbook for Integrating DeltaV‑Controlled Manufacturing Areas into a Modern Digital Plant</w:t>
      </w:r>
    </w:p>
    <w:bookmarkStart w:id="21" w:name="purpose-and-scope"/>
    <w:p>
      <w:pPr>
        <w:pStyle w:val="Heading2"/>
      </w:pPr>
      <w:r>
        <w:t xml:space="preserve">Purpose and scope</w:t>
      </w:r>
    </w:p>
    <w:p>
      <w:pPr>
        <w:pStyle w:val="FirstParagraph"/>
      </w:pPr>
      <w:r>
        <w:t xml:space="preserve">This playbook provides guidance for integrating a DeltaV distributed control system (DCS)‑controlled manufacturing area into an enterprise digital‑plant architecture using an</w:t>
      </w:r>
      <w:r>
        <w:t xml:space="preserve"> </w:t>
      </w:r>
      <w:r>
        <w:rPr>
          <w:b/>
          <w:bCs/>
        </w:rPr>
        <w:t xml:space="preserve">event‑driven architecture</w:t>
      </w:r>
      <w:r>
        <w:t xml:space="preserve">. The focus is on life‑sciences manufacturing at commercial scale (biologics or small‑molecule) under FDA, EU, UK, Health Canada and Japanese GxP regulations. The scope covers integrating DeltaV with a unified namespace (UNS) via</w:t>
      </w:r>
      <w:r>
        <w:t xml:space="preserve"> </w:t>
      </w:r>
      <w:r>
        <w:rPr>
          <w:b/>
          <w:bCs/>
        </w:rPr>
        <w:t xml:space="preserve">MQTT</w:t>
      </w:r>
      <w:r>
        <w:t xml:space="preserve"> </w:t>
      </w:r>
      <w:r>
        <w:t xml:space="preserve">(HiveMQ), visualisation via</w:t>
      </w:r>
      <w:r>
        <w:t xml:space="preserve"> </w:t>
      </w:r>
      <w:r>
        <w:rPr>
          <w:b/>
          <w:bCs/>
        </w:rPr>
        <w:t xml:space="preserve">Ignition SCADA</w:t>
      </w:r>
      <w:r>
        <w:t xml:space="preserve">, process historian via</w:t>
      </w:r>
      <w:r>
        <w:t xml:space="preserve"> </w:t>
      </w:r>
      <w:r>
        <w:rPr>
          <w:b/>
          <w:bCs/>
        </w:rPr>
        <w:t xml:space="preserve">AVEVA PI</w:t>
      </w:r>
      <w:r>
        <w:t xml:space="preserve">, event database(s), enterprise data lake and an</w:t>
      </w:r>
      <w:r>
        <w:t xml:space="preserve"> </w:t>
      </w:r>
      <w:r>
        <w:rPr>
          <w:b/>
          <w:bCs/>
        </w:rPr>
        <w:t xml:space="preserve">Industrial DataOps</w:t>
      </w:r>
      <w:r>
        <w:t xml:space="preserve"> </w:t>
      </w:r>
      <w:r>
        <w:t xml:space="preserve">platform (HighByte Intelligence Hub). It includes solution and event specification, data criticality, design/development, verification and integration activities to support</w:t>
      </w:r>
      <w:r>
        <w:t xml:space="preserve"> </w:t>
      </w:r>
      <w:r>
        <w:rPr>
          <w:b/>
          <w:bCs/>
        </w:rPr>
        <w:t xml:space="preserve">GxP operations</w:t>
      </w:r>
      <w:r>
        <w:t xml:space="preserve">. The process‑control design of DeltaV (loop tuning, recipe logic) is handled by another team and is out of scope; however, this playbook defines how to expose and use data from DeltaV in a compliant and scalable manner.</w:t>
      </w:r>
    </w:p>
    <w:bookmarkEnd w:id="21"/>
    <w:bookmarkStart w:id="32" w:name="regulatory-and-dataintegrity-foundation"/>
    <w:p>
      <w:pPr>
        <w:pStyle w:val="Heading2"/>
      </w:pPr>
      <w:r>
        <w:t xml:space="preserve">Regulatory and data‑integrity foundation</w:t>
      </w:r>
    </w:p>
    <w:p>
      <w:pPr>
        <w:pStyle w:val="Compact"/>
        <w:numPr>
          <w:ilvl w:val="0"/>
          <w:numId w:val="1001"/>
        </w:numPr>
      </w:pPr>
      <w:r>
        <w:rPr>
          <w:b/>
          <w:bCs/>
        </w:rPr>
        <w:t xml:space="preserve">Data integrity and ALCOA+</w:t>
      </w:r>
      <w:r>
        <w:t xml:space="preserve"> </w:t>
      </w:r>
      <w:r>
        <w:t xml:space="preserve">– Pharmaceutical regulators require that electronic records are</w:t>
      </w:r>
      <w:r>
        <w:t xml:space="preserve"> </w:t>
      </w:r>
      <w:r>
        <w:rPr>
          <w:b/>
          <w:bCs/>
        </w:rPr>
        <w:t xml:space="preserve">Attributable, Legible, Contemporaneous, Original and Accurate (ALCOA)</w:t>
      </w:r>
      <w:r>
        <w:t xml:space="preserve"> </w:t>
      </w:r>
      <w:r>
        <w:t xml:space="preserve">and, in modern guidance,</w:t>
      </w:r>
      <w:r>
        <w:t xml:space="preserve"> </w:t>
      </w:r>
      <w:r>
        <w:rPr>
          <w:b/>
          <w:bCs/>
        </w:rPr>
        <w:t xml:space="preserve">ALCOA+</w:t>
      </w:r>
      <w:r>
        <w:t xml:space="preserve"> </w:t>
      </w:r>
      <w:r>
        <w:t xml:space="preserve">includes</w:t>
      </w:r>
      <w:r>
        <w:t xml:space="preserve"> </w:t>
      </w:r>
      <w:r>
        <w:rPr>
          <w:i/>
          <w:iCs/>
        </w:rPr>
        <w:t xml:space="preserve">available, enduring, consistent and complete</w:t>
      </w:r>
      <w:r>
        <w:t xml:space="preserve">. The 21 CFR Part 11 guidance emphasises that data must be complete, consistent and accurate</w:t>
      </w:r>
      <w:hyperlink r:id="rId22">
        <w:r>
          <w:rPr>
            <w:rStyle w:val="Hyperlink"/>
          </w:rPr>
          <w:t xml:space="preserve">[1]</w:t>
        </w:r>
      </w:hyperlink>
      <w:r>
        <w:t xml:space="preserve">. GAMP 5 recognises that database systems should inherit security controls from IT‑managed, server‑class databases rather than local spreadsheets</w:t>
      </w:r>
      <w:hyperlink r:id="rId23">
        <w:r>
          <w:rPr>
            <w:rStyle w:val="Hyperlink"/>
          </w:rPr>
          <w:t xml:space="preserve">[2]</w:t>
        </w:r>
      </w:hyperlink>
      <w:r>
        <w:t xml:space="preserve">. Data flows must therefore preserve provenance, timestamps, context and access controls.</w:t>
      </w:r>
    </w:p>
    <w:p>
      <w:pPr>
        <w:pStyle w:val="Compact"/>
        <w:numPr>
          <w:ilvl w:val="0"/>
          <w:numId w:val="1001"/>
        </w:numPr>
      </w:pPr>
      <w:r>
        <w:rPr>
          <w:b/>
          <w:bCs/>
        </w:rPr>
        <w:t xml:space="preserve">Shared responsibility model</w:t>
      </w:r>
      <w:r>
        <w:t xml:space="preserve"> </w:t>
      </w:r>
      <w:r>
        <w:t xml:space="preserve">– Compliance is shared between the manufacturer (customer), software vendors and integrators. Customers must maintain policies, training, change control and validation; vendors and integrators must provide configurations and documentation to support compliance</w:t>
      </w:r>
      <w:hyperlink r:id="rId24">
        <w:r>
          <w:rPr>
            <w:rStyle w:val="Hyperlink"/>
          </w:rPr>
          <w:t xml:space="preserve">[3]</w:t>
        </w:r>
      </w:hyperlink>
      <w:r>
        <w:t xml:space="preserve">.</w:t>
      </w:r>
    </w:p>
    <w:p>
      <w:pPr>
        <w:pStyle w:val="Compact"/>
        <w:numPr>
          <w:ilvl w:val="0"/>
          <w:numId w:val="1001"/>
        </w:numPr>
      </w:pPr>
      <w:r>
        <w:rPr>
          <w:b/>
          <w:bCs/>
        </w:rPr>
        <w:t xml:space="preserve">Deterministic event behaviour</w:t>
      </w:r>
      <w:r>
        <w:t xml:space="preserve"> </w:t>
      </w:r>
      <w:r>
        <w:t xml:space="preserve">– GxP systems require predictable behaviour. In regulated manufacturing and lab systems, event platforms must support deterministic message delivery with QoS guarantees</w:t>
      </w:r>
      <w:hyperlink r:id="rId25">
        <w:r>
          <w:rPr>
            <w:rStyle w:val="Hyperlink"/>
          </w:rPr>
          <w:t xml:space="preserve">[4]</w:t>
        </w:r>
      </w:hyperlink>
      <w:r>
        <w:t xml:space="preserve">. Non‑deterministic delivery patterns or message order changes can invalidate validation</w:t>
      </w:r>
      <w:hyperlink r:id="rId26">
        <w:r>
          <w:rPr>
            <w:rStyle w:val="Hyperlink"/>
          </w:rPr>
          <w:t xml:space="preserve">[5]</w:t>
        </w:r>
      </w:hyperlink>
      <w:r>
        <w:t xml:space="preserve">. MQTT’s QoS 1/2 and persistent sessions are key for predictable behaviour</w:t>
      </w:r>
      <w:hyperlink r:id="rId27">
        <w:r>
          <w:rPr>
            <w:rStyle w:val="Hyperlink"/>
          </w:rPr>
          <w:t xml:space="preserve">[6]</w:t>
        </w:r>
      </w:hyperlink>
      <w:r>
        <w:t xml:space="preserve">.</w:t>
      </w:r>
    </w:p>
    <w:p>
      <w:pPr>
        <w:pStyle w:val="Compact"/>
        <w:numPr>
          <w:ilvl w:val="0"/>
          <w:numId w:val="1001"/>
        </w:numPr>
      </w:pPr>
      <w:r>
        <w:rPr>
          <w:b/>
          <w:bCs/>
        </w:rPr>
        <w:t xml:space="preserve">Security and segmentation</w:t>
      </w:r>
      <w:r>
        <w:t xml:space="preserve"> </w:t>
      </w:r>
      <w:r>
        <w:t xml:space="preserve">– Systems must enforce encryption, authentication and fine‑grained access controls. Event platforms must authenticate both users and devices with certificates and role‑based authorisation; generic ACLs or shared credentials undermine compliance</w:t>
      </w:r>
      <w:hyperlink r:id="rId28">
        <w:r>
          <w:rPr>
            <w:rStyle w:val="Hyperlink"/>
          </w:rPr>
          <w:t xml:space="preserve">[7]</w:t>
        </w:r>
      </w:hyperlink>
      <w:r>
        <w:t xml:space="preserve">. Ignition’s security hardening guide recommends external identity providers, multi‑factor authentication and role‑based access mapped to Active Directory or other identity sources</w:t>
      </w:r>
      <w:hyperlink r:id="rId29">
        <w:r>
          <w:rPr>
            <w:rStyle w:val="Hyperlink"/>
          </w:rPr>
          <w:t xml:space="preserve">[8]</w:t>
        </w:r>
      </w:hyperlink>
      <w:r>
        <w:t xml:space="preserve">. Network segmentation via Purdue/ISA‑95 zones and conduits supports defence‑in‑depth</w:t>
      </w:r>
      <w:hyperlink r:id="rId30">
        <w:r>
          <w:rPr>
            <w:rStyle w:val="Hyperlink"/>
          </w:rPr>
          <w:t xml:space="preserve">[9]</w:t>
        </w:r>
      </w:hyperlink>
      <w:r>
        <w:t xml:space="preserve">.</w:t>
      </w:r>
    </w:p>
    <w:p>
      <w:pPr>
        <w:pStyle w:val="Compact"/>
        <w:numPr>
          <w:ilvl w:val="0"/>
          <w:numId w:val="1001"/>
        </w:numPr>
      </w:pPr>
      <w:r>
        <w:rPr>
          <w:b/>
          <w:bCs/>
        </w:rPr>
        <w:t xml:space="preserve">Data lake governance</w:t>
      </w:r>
      <w:r>
        <w:t xml:space="preserve"> </w:t>
      </w:r>
      <w:r>
        <w:t xml:space="preserve">– A GxP data lake is an analytics layer that ingests controlled feeds from systems of record (MES, LIMS, QMS, historians, IIoT). It must preserve data lineage, employ raw and refined zones, enforce audit trails and segregate duties</w:t>
      </w:r>
      <w:hyperlink r:id="rId31">
        <w:r>
          <w:rPr>
            <w:rStyle w:val="Hyperlink"/>
          </w:rPr>
          <w:t xml:space="preserve">[10]</w:t>
        </w:r>
      </w:hyperlink>
      <w:r>
        <w:t xml:space="preserve">. Curated tables are treated as data products with defined ownership, change control and intended use</w:t>
      </w:r>
      <w:hyperlink r:id="rId31">
        <w:r>
          <w:rPr>
            <w:rStyle w:val="Hyperlink"/>
          </w:rPr>
          <w:t xml:space="preserve">[11]</w:t>
        </w:r>
      </w:hyperlink>
      <w:r>
        <w:t xml:space="preserve">. Validation and impact classification are risk‑based: if lake outputs influence batch disposition or filings, CSV/CSA and GAMP 5 apply</w:t>
      </w:r>
      <w:hyperlink r:id="rId31">
        <w:r>
          <w:rPr>
            <w:rStyle w:val="Hyperlink"/>
          </w:rPr>
          <w:t xml:space="preserve">[11]</w:t>
        </w:r>
      </w:hyperlink>
      <w:r>
        <w:t xml:space="preserve">.</w:t>
      </w:r>
    </w:p>
    <w:bookmarkEnd w:id="32"/>
    <w:bookmarkStart w:id="51" w:name="architectural-overview"/>
    <w:p>
      <w:pPr>
        <w:pStyle w:val="Heading2"/>
      </w:pPr>
      <w:r>
        <w:t xml:space="preserve">Architectural overview</w:t>
      </w:r>
    </w:p>
    <w:bookmarkStart w:id="43" w:name="components"/>
    <w:p>
      <w:pPr>
        <w:pStyle w:val="Heading3"/>
      </w:pPr>
      <w:r>
        <w:t xml:space="preserve">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Role in architecture</w:t>
            </w:r>
          </w:p>
        </w:tc>
        <w:tc>
          <w:tcPr/>
          <w:p>
            <w:pPr>
              <w:pStyle w:val="Compact"/>
            </w:pPr>
            <w:r>
              <w:t xml:space="preserve">Key compliance considerations</w:t>
            </w:r>
          </w:p>
        </w:tc>
      </w:tr>
      <w:tr>
        <w:tc>
          <w:tcPr/>
          <w:p>
            <w:pPr>
              <w:pStyle w:val="Compact"/>
            </w:pPr>
            <w:r>
              <w:rPr>
                <w:b/>
                <w:bCs/>
              </w:rPr>
              <w:t xml:space="preserve">DeltaV DCS</w:t>
            </w:r>
          </w:p>
        </w:tc>
        <w:tc>
          <w:tcPr/>
          <w:p>
            <w:pPr>
              <w:pStyle w:val="Compact"/>
            </w:pPr>
            <w:r>
              <w:t xml:space="preserve">Provides real‑time control and event data (analog/digital values, equipment status, alarms, batch events). Exposes data via OPC DA/UA, DeltaV Continuous Historian, Event Chronicle and Batch Journal.</w:t>
            </w:r>
          </w:p>
        </w:tc>
        <w:tc>
          <w:tcPr/>
          <w:p>
            <w:pPr>
              <w:pStyle w:val="Compact"/>
            </w:pPr>
            <w:r>
              <w:t xml:space="preserve">Ensure deterministic timestamps (NTP synchronisation), classification of data (critical vs non‑critical), and secure connectivity (OPC UA with certificates).</w:t>
            </w:r>
          </w:p>
        </w:tc>
      </w:tr>
      <w:tr>
        <w:tc>
          <w:tcPr/>
          <w:p>
            <w:pPr>
              <w:pStyle w:val="Compact"/>
            </w:pPr>
            <w:r>
              <w:rPr>
                <w:b/>
                <w:bCs/>
              </w:rPr>
              <w:t xml:space="preserve">HiveMQ MQTT Broker</w:t>
            </w:r>
          </w:p>
        </w:tc>
        <w:tc>
          <w:tcPr/>
          <w:p>
            <w:pPr>
              <w:pStyle w:val="Compact"/>
            </w:pPr>
            <w:r>
              <w:t xml:space="preserve">Central message broker implementing MQTT 5 and Sparkplug B for unified namespace. Provides pub/sub, QoS, clustering and persistence.</w:t>
            </w:r>
          </w:p>
        </w:tc>
        <w:tc>
          <w:tcPr/>
          <w:p>
            <w:pPr>
              <w:pStyle w:val="Compact"/>
            </w:pPr>
            <w:r>
              <w:t xml:space="preserve">Configure persistent sessions and durable storage to avoid message loss</w:t>
            </w:r>
            <w:hyperlink r:id="rId33">
              <w:r>
                <w:rPr>
                  <w:rStyle w:val="Hyperlink"/>
                </w:rPr>
                <w:t xml:space="preserve">[12]</w:t>
              </w:r>
            </w:hyperlink>
            <w:r>
              <w:t xml:space="preserve">; deploy in clustered mode with state replication to ensure zero downtime</w:t>
            </w:r>
            <w:hyperlink r:id="rId34">
              <w:r>
                <w:rPr>
                  <w:rStyle w:val="Hyperlink"/>
                </w:rPr>
                <w:t xml:space="preserve">[13]</w:t>
              </w:r>
            </w:hyperlink>
            <w:r>
              <w:t xml:space="preserve">; enforce TLS 1.3, x.509 mutual authentication and topic‑level RBAC</w:t>
            </w:r>
            <w:hyperlink r:id="rId35">
              <w:r>
                <w:rPr>
                  <w:rStyle w:val="Hyperlink"/>
                </w:rPr>
                <w:t xml:space="preserve">[14]</w:t>
              </w:r>
            </w:hyperlink>
            <w:r>
              <w:t xml:space="preserve">.</w:t>
            </w:r>
          </w:p>
        </w:tc>
      </w:tr>
      <w:tr>
        <w:tc>
          <w:tcPr/>
          <w:p>
            <w:pPr>
              <w:pStyle w:val="Compact"/>
            </w:pPr>
            <w:r>
              <w:rPr>
                <w:b/>
                <w:bCs/>
              </w:rPr>
              <w:t xml:space="preserve">HighByte Intelligence Hub (Industrial DataOps)</w:t>
            </w:r>
          </w:p>
        </w:tc>
        <w:tc>
          <w:tcPr/>
          <w:p>
            <w:pPr>
              <w:pStyle w:val="Compact"/>
            </w:pPr>
            <w:r>
              <w:t xml:space="preserve">Edge‑native platform for collecting, modeling and publishing industrial data. Connects to OPC, PLCs, DeltaV, PI and other sources; standardises and contextualises data; publishes to MQTT and REST; manages data flows.</w:t>
            </w:r>
          </w:p>
        </w:tc>
        <w:tc>
          <w:tcPr/>
          <w:p>
            <w:pPr>
              <w:pStyle w:val="Compact"/>
            </w:pPr>
            <w:r>
              <w:t xml:space="preserve">Provide standard data models and metadata; manage flows and transformations at the edge; ensure connectivity to both OT and IT systems; follow HighByte’s DataOps capabilities such as standardisation, connection management, flow control and edge deployment</w:t>
            </w:r>
            <w:hyperlink r:id="rId36">
              <w:r>
                <w:rPr>
                  <w:rStyle w:val="Hyperlink"/>
                </w:rPr>
                <w:t xml:space="preserve">[15]</w:t>
              </w:r>
            </w:hyperlink>
            <w:r>
              <w:t xml:space="preserve">.</w:t>
            </w:r>
          </w:p>
        </w:tc>
      </w:tr>
      <w:tr>
        <w:tc>
          <w:tcPr/>
          <w:p>
            <w:pPr>
              <w:pStyle w:val="Compact"/>
            </w:pPr>
            <w:r>
              <w:rPr>
                <w:b/>
                <w:bCs/>
              </w:rPr>
              <w:t xml:space="preserve">Ignition SCADA (Inductive Automation)</w:t>
            </w:r>
          </w:p>
        </w:tc>
        <w:tc>
          <w:tcPr/>
          <w:p>
            <w:pPr>
              <w:pStyle w:val="Compact"/>
            </w:pPr>
            <w:r>
              <w:t xml:space="preserve">Human–machine interface (HMI), SCADA and industrial application platform. Consumes MQTT via Sparkplug B, OPC and other protocols. Implements alarming, historical trending, audit logging and electronic signatures.</w:t>
            </w:r>
          </w:p>
        </w:tc>
        <w:tc>
          <w:tcPr/>
          <w:p>
            <w:pPr>
              <w:pStyle w:val="Compact"/>
            </w:pPr>
            <w:r>
              <w:t xml:space="preserve">Follow Ignition’s Part 11 best practices: use external identity provider and multi‑factor authentication</w:t>
            </w:r>
            <w:hyperlink r:id="rId37">
              <w:r>
                <w:rPr>
                  <w:rStyle w:val="Hyperlink"/>
                </w:rPr>
                <w:t xml:space="preserve">[16]</w:t>
              </w:r>
            </w:hyperlink>
            <w:r>
              <w:t xml:space="preserve">, enforce HTTPS/TLS and secure LDAP</w:t>
            </w:r>
            <w:hyperlink r:id="rId38">
              <w:r>
                <w:rPr>
                  <w:rStyle w:val="Hyperlink"/>
                </w:rPr>
                <w:t xml:space="preserve">[17]</w:t>
              </w:r>
            </w:hyperlink>
            <w:r>
              <w:t xml:space="preserve">, configure database protections with separate credentials and disk cache</w:t>
            </w:r>
            <w:hyperlink r:id="rId39">
              <w:r>
                <w:rPr>
                  <w:rStyle w:val="Hyperlink"/>
                </w:rPr>
                <w:t xml:space="preserve">[18]</w:t>
              </w:r>
            </w:hyperlink>
            <w:r>
              <w:t xml:space="preserve">, implement network segmentation and redundancy</w:t>
            </w:r>
            <w:hyperlink r:id="rId30">
              <w:r>
                <w:rPr>
                  <w:rStyle w:val="Hyperlink"/>
                </w:rPr>
                <w:t xml:space="preserve">[9]</w:t>
              </w:r>
            </w:hyperlink>
            <w:r>
              <w:t xml:space="preserve">.</w:t>
            </w:r>
          </w:p>
        </w:tc>
      </w:tr>
      <w:tr>
        <w:tc>
          <w:tcPr/>
          <w:p>
            <w:pPr>
              <w:pStyle w:val="Compact"/>
            </w:pPr>
            <w:r>
              <w:rPr>
                <w:b/>
                <w:bCs/>
              </w:rPr>
              <w:t xml:space="preserve">AVEVA PI Process Historian</w:t>
            </w:r>
          </w:p>
        </w:tc>
        <w:tc>
          <w:tcPr/>
          <w:p>
            <w:pPr>
              <w:pStyle w:val="Compact"/>
            </w:pPr>
            <w:r>
              <w:t xml:space="preserve">Central time‑series historian for process data; collects tag data and batch event frames from DeltaV via PI Interface/Connector; provides long‑term storage and analytics.</w:t>
            </w:r>
          </w:p>
        </w:tc>
        <w:tc>
          <w:tcPr/>
          <w:p>
            <w:pPr>
              <w:pStyle w:val="Compact"/>
            </w:pPr>
            <w:r>
              <w:t xml:space="preserve">Use DeltaV–PI interface (e.g., PI Interface for Emerson DeltaV Batch) configured with scanning rates, event frames and time synchronisation; ensure historian is qualified and integrated into the validation master plan; maintain audit trails and data integrity.</w:t>
            </w:r>
          </w:p>
        </w:tc>
      </w:tr>
      <w:tr>
        <w:tc>
          <w:tcPr/>
          <w:p>
            <w:pPr>
              <w:pStyle w:val="Compact"/>
            </w:pPr>
            <w:r>
              <w:rPr>
                <w:b/>
                <w:bCs/>
              </w:rPr>
              <w:t xml:space="preserve">Event Database (Event DB)</w:t>
            </w:r>
          </w:p>
        </w:tc>
        <w:tc>
          <w:tcPr/>
          <w:p>
            <w:pPr>
              <w:pStyle w:val="Compact"/>
            </w:pPr>
            <w:r>
              <w:t xml:space="preserve">Relational or time‑series database(s) to store specific events (e.g., manufacturing instructions, equipment state changes, exceptions) for high‑availability retrieval.</w:t>
            </w:r>
          </w:p>
        </w:tc>
        <w:tc>
          <w:tcPr/>
          <w:p>
            <w:pPr>
              <w:pStyle w:val="Compact"/>
            </w:pPr>
            <w:r>
              <w:t xml:space="preserve">Use ACID‑compliant databases (e.g., PostgreSQL) with audit logging; segregate schemas per application; control access and employ role‑based permissions; replicate to data lake for analytics.</w:t>
            </w:r>
          </w:p>
        </w:tc>
      </w:tr>
      <w:tr>
        <w:tc>
          <w:tcPr/>
          <w:p>
            <w:pPr>
              <w:pStyle w:val="Compact"/>
            </w:pPr>
            <w:r>
              <w:rPr>
                <w:b/>
                <w:bCs/>
              </w:rPr>
              <w:t xml:space="preserve">Data Lake</w:t>
            </w:r>
          </w:p>
        </w:tc>
        <w:tc>
          <w:tcPr/>
          <w:p>
            <w:pPr>
              <w:pStyle w:val="Compact"/>
            </w:pPr>
            <w:r>
              <w:t xml:space="preserve">Analytical environment (on‑prem/cloud) storing raw, refined and curated data from MES, historian, LIMS, QMS, ERP and sensors.</w:t>
            </w:r>
          </w:p>
        </w:tc>
        <w:tc>
          <w:tcPr/>
          <w:p>
            <w:pPr>
              <w:pStyle w:val="Compact"/>
            </w:pPr>
            <w:r>
              <w:t xml:space="preserve">Implement raw/refined/sandbox zones</w:t>
            </w:r>
            <w:hyperlink r:id="rId40">
              <w:r>
                <w:rPr>
                  <w:rStyle w:val="Hyperlink"/>
                </w:rPr>
                <w:t xml:space="preserve">[19]</w:t>
              </w:r>
            </w:hyperlink>
            <w:r>
              <w:t xml:space="preserve">; maintain digital thread linking curated tables to source records</w:t>
            </w:r>
            <w:hyperlink r:id="rId41">
              <w:r>
                <w:rPr>
                  <w:rStyle w:val="Hyperlink"/>
                </w:rPr>
                <w:t xml:space="preserve">[20]</w:t>
              </w:r>
            </w:hyperlink>
            <w:r>
              <w:t xml:space="preserve">; enforce ALCOA+ through immutable storage, controlled transformations and audit trails</w:t>
            </w:r>
            <w:hyperlink r:id="rId42">
              <w:r>
                <w:rPr>
                  <w:rStyle w:val="Hyperlink"/>
                </w:rPr>
                <w:t xml:space="preserve">[21]</w:t>
              </w:r>
            </w:hyperlink>
            <w:r>
              <w:t xml:space="preserve">; implement governance, metadata catalogue and segregation of duties</w:t>
            </w:r>
            <w:hyperlink r:id="rId31">
              <w:r>
                <w:rPr>
                  <w:rStyle w:val="Hyperlink"/>
                </w:rPr>
                <w:t xml:space="preserve">[22]</w:t>
              </w:r>
            </w:hyperlink>
            <w:r>
              <w:t xml:space="preserve">.</w:t>
            </w:r>
          </w:p>
        </w:tc>
      </w:tr>
      <w:tr>
        <w:tc>
          <w:tcPr/>
          <w:p>
            <w:pPr>
              <w:pStyle w:val="Compact"/>
            </w:pPr>
            <w:r>
              <w:rPr>
                <w:b/>
                <w:bCs/>
              </w:rPr>
              <w:t xml:space="preserve">Other Enterprise Systems</w:t>
            </w:r>
          </w:p>
        </w:tc>
        <w:tc>
          <w:tcPr/>
          <w:p>
            <w:pPr>
              <w:pStyle w:val="Compact"/>
            </w:pPr>
            <w:r>
              <w:t xml:space="preserve">MES/eBR, LIMS, QMS, ERP, analytics tools, AI/ML services. These consume events from MQTT or the data lake and provide context and additional data to the event architecture.</w:t>
            </w:r>
          </w:p>
        </w:tc>
        <w:tc>
          <w:tcPr/>
          <w:p>
            <w:pPr>
              <w:pStyle w:val="Compact"/>
            </w:pPr>
            <w:r>
              <w:t xml:space="preserve">Integrate using standard APIs or connectors; classify data impact; maintain validation status; ensure data flows are bidirectional only where necessary; follow CSA/CSV guidelines.</w:t>
            </w:r>
          </w:p>
        </w:tc>
      </w:tr>
    </w:tbl>
    <w:bookmarkEnd w:id="43"/>
    <w:bookmarkStart w:id="50" w:name="data-flows-and-unified-namespace"/>
    <w:p>
      <w:pPr>
        <w:pStyle w:val="Heading3"/>
      </w:pPr>
      <w:r>
        <w:t xml:space="preserve">Data flows and unified namespace</w:t>
      </w:r>
    </w:p>
    <w:p>
      <w:pPr>
        <w:pStyle w:val="Compact"/>
        <w:numPr>
          <w:ilvl w:val="0"/>
          <w:numId w:val="1002"/>
        </w:numPr>
      </w:pPr>
      <w:r>
        <w:rPr>
          <w:b/>
          <w:bCs/>
        </w:rPr>
        <w:t xml:space="preserve">Data acquisition from DeltaV</w:t>
      </w:r>
    </w:p>
    <w:p>
      <w:pPr>
        <w:pStyle w:val="Compact"/>
        <w:numPr>
          <w:ilvl w:val="0"/>
          <w:numId w:val="1002"/>
        </w:numPr>
      </w:pPr>
      <w:r>
        <w:rPr>
          <w:b/>
          <w:bCs/>
        </w:rPr>
        <w:t xml:space="preserve">Process and analog data</w:t>
      </w:r>
      <w:r>
        <w:t xml:space="preserve"> </w:t>
      </w:r>
      <w:r>
        <w:t xml:space="preserve">are collected by the DeltaV Continuous Historian and made available via OPC DA/UA or DeltaV OPC HDA interface. The HighByte hub or PI interface subscribes to these tags. Data should be mapped to models (e.g., Equipment→Sensor→Measurement) and enriched with metadata (units, engineering range, contextual labels). HighByte allows codeless integration and transformation; it connects to OPC servers and merges data into complex modeled payloads</w:t>
      </w:r>
      <w:hyperlink r:id="rId44">
        <w:r>
          <w:rPr>
            <w:rStyle w:val="Hyperlink"/>
          </w:rPr>
          <w:t xml:space="preserve">[23]</w:t>
        </w:r>
      </w:hyperlink>
      <w:r>
        <w:t xml:space="preserve">.</w:t>
      </w:r>
    </w:p>
    <w:p>
      <w:pPr>
        <w:pStyle w:val="Compact"/>
        <w:numPr>
          <w:ilvl w:val="0"/>
          <w:numId w:val="1002"/>
        </w:numPr>
      </w:pPr>
      <w:r>
        <w:rPr>
          <w:b/>
          <w:bCs/>
        </w:rPr>
        <w:t xml:space="preserve">Batch and event data</w:t>
      </w:r>
      <w:r>
        <w:t xml:space="preserve"> </w:t>
      </w:r>
      <w:r>
        <w:t xml:space="preserve">are captured by DeltaV Event Chronicle and Batch Journal. The PI Interface for DeltaV Batch can create</w:t>
      </w:r>
      <w:r>
        <w:t xml:space="preserve"> </w:t>
      </w:r>
      <w:r>
        <w:rPr>
          <w:b/>
          <w:bCs/>
        </w:rPr>
        <w:t xml:space="preserve">Event Frames</w:t>
      </w:r>
      <w:r>
        <w:t xml:space="preserve"> </w:t>
      </w:r>
      <w:r>
        <w:t xml:space="preserve">in PI to represent batch start/stop, phase transitions and parameter changes. Event frames are crucial for CPV and PQR; they must be configured with correct mappings and time synchronisation.</w:t>
      </w:r>
    </w:p>
    <w:p>
      <w:pPr>
        <w:numPr>
          <w:ilvl w:val="0"/>
          <w:numId w:val="1002"/>
        </w:numPr>
      </w:pPr>
      <w:r>
        <w:t xml:space="preserve">For MQTT streaming, DeltaV data may be bridged via</w:t>
      </w:r>
      <w:r>
        <w:t xml:space="preserve"> </w:t>
      </w:r>
      <w:r>
        <w:rPr>
          <w:b/>
          <w:bCs/>
        </w:rPr>
        <w:t xml:space="preserve">HighByte</w:t>
      </w:r>
      <w:r>
        <w:t xml:space="preserve"> </w:t>
      </w:r>
      <w:r>
        <w:t xml:space="preserve">or</w:t>
      </w:r>
      <w:r>
        <w:t xml:space="preserve"> </w:t>
      </w:r>
      <w:r>
        <w:rPr>
          <w:b/>
          <w:bCs/>
        </w:rPr>
        <w:t xml:space="preserve">Ignition Edge</w:t>
      </w:r>
      <w:r>
        <w:t xml:space="preserve"> </w:t>
      </w:r>
      <w:r>
        <w:t xml:space="preserve">acting as an MQTT client that converts OPC tags into Sparkplug B topics. When bridging directly, ensure QoS 1/2 and retained messages for critical metrics, and use hierarchical topic namespaces reflecting site/area/equipment/tag (e.g.,</w:t>
      </w:r>
      <w:r>
        <w:t xml:space="preserve"> </w:t>
      </w:r>
      <w:r>
        <w:rPr>
          <w:rStyle w:val="VerbatimChar"/>
        </w:rPr>
        <w:t xml:space="preserve">site/area/equipment/parameter</w:t>
      </w:r>
      <w:r>
        <w:t xml:space="preserve">). Use Sparkplug B payloads where possible; they include state management, birth/death certificates and sequence numbers to support deterministic behaviour.</w:t>
      </w:r>
    </w:p>
    <w:p>
      <w:pPr>
        <w:numPr>
          <w:ilvl w:val="0"/>
          <w:numId w:val="1002"/>
        </w:numPr>
      </w:pPr>
      <w:r>
        <w:rPr>
          <w:b/>
          <w:bCs/>
        </w:rPr>
        <w:t xml:space="preserve">Publishing to the Unified Namespace via HiveMQ</w:t>
      </w:r>
    </w:p>
    <w:p>
      <w:pPr>
        <w:numPr>
          <w:ilvl w:val="0"/>
          <w:numId w:val="1002"/>
        </w:numPr>
      </w:pPr>
      <w:r>
        <w:t xml:space="preserve">The unified namespace (UNS) is a dynamic hierarchy of topics representing the enterprise. Each physical and logical entity (site, area, line, asset, tag) gets a topic branch. Events and measurements are published on topics like</w:t>
      </w:r>
      <w:r>
        <w:t xml:space="preserve"> </w:t>
      </w:r>
      <w:r>
        <w:rPr>
          <w:rStyle w:val="VerbatimChar"/>
        </w:rPr>
        <w:t xml:space="preserve">factory1/bioreactor1/temperature/value</w:t>
      </w:r>
      <w:r>
        <w:t xml:space="preserve">,</w:t>
      </w:r>
      <w:r>
        <w:t xml:space="preserve"> </w:t>
      </w:r>
      <w:r>
        <w:rPr>
          <w:rStyle w:val="VerbatimChar"/>
        </w:rPr>
        <w:t xml:space="preserve">factory1/batch123/event/start</w:t>
      </w:r>
      <w:r>
        <w:t xml:space="preserve">,</w:t>
      </w:r>
      <w:r>
        <w:t xml:space="preserve"> </w:t>
      </w:r>
      <w:r>
        <w:rPr>
          <w:rStyle w:val="VerbatimChar"/>
        </w:rPr>
        <w:t xml:space="preserve">alarms/high_temperature</w:t>
      </w:r>
      <w:r>
        <w:t xml:space="preserve">. A consistent naming convention simplifies consumption by SCADA, historians, analytics and AI.</w:t>
      </w:r>
    </w:p>
    <w:p>
      <w:pPr>
        <w:pStyle w:val="Compact"/>
        <w:numPr>
          <w:ilvl w:val="0"/>
          <w:numId w:val="1002"/>
        </w:numPr>
      </w:pPr>
      <w:r>
        <w:t xml:space="preserve">Use HiveMQ clustering with persistent storage. Avoid single‑node brokers and in‑memory persistence; misconfigurations can cause message loss</w:t>
      </w:r>
      <w:hyperlink r:id="rId33">
        <w:r>
          <w:rPr>
            <w:rStyle w:val="Hyperlink"/>
          </w:rPr>
          <w:t xml:space="preserve">[12]</w:t>
        </w:r>
      </w:hyperlink>
      <w:r>
        <w:t xml:space="preserve">. Enable TLS and mutual authentication; integrate with the enterprise IAM for access control</w:t>
      </w:r>
      <w:hyperlink r:id="rId35">
        <w:r>
          <w:rPr>
            <w:rStyle w:val="Hyperlink"/>
          </w:rPr>
          <w:t xml:space="preserve">[14]</w:t>
        </w:r>
      </w:hyperlink>
      <w:r>
        <w:t xml:space="preserve">.</w:t>
      </w:r>
    </w:p>
    <w:p>
      <w:pPr>
        <w:numPr>
          <w:ilvl w:val="0"/>
          <w:numId w:val="1002"/>
        </w:numPr>
      </w:pPr>
      <w:r>
        <w:t xml:space="preserve">Set appropriate</w:t>
      </w:r>
      <w:r>
        <w:t xml:space="preserve"> </w:t>
      </w:r>
      <w:r>
        <w:rPr>
          <w:b/>
          <w:bCs/>
        </w:rPr>
        <w:t xml:space="preserve">Quality of Service (QoS)</w:t>
      </w:r>
      <w:r>
        <w:t xml:space="preserve">: QoS 1 (at least once) for most process data; QoS 2 (exactly once) for critical events (batch start/stop, set‑point changes, alarms). Retain messages for last‑known values when appropriate (e.g., equipment status). Use persistent sessions to queue messages for offline subscribers</w:t>
      </w:r>
      <w:hyperlink r:id="rId33">
        <w:r>
          <w:rPr>
            <w:rStyle w:val="Hyperlink"/>
          </w:rPr>
          <w:t xml:space="preserve">[12]</w:t>
        </w:r>
      </w:hyperlink>
      <w:r>
        <w:t xml:space="preserve">.</w:t>
      </w:r>
    </w:p>
    <w:p>
      <w:pPr>
        <w:numPr>
          <w:ilvl w:val="0"/>
          <w:numId w:val="1002"/>
        </w:numPr>
      </w:pPr>
      <w:r>
        <w:rPr>
          <w:b/>
          <w:bCs/>
        </w:rPr>
        <w:t xml:space="preserve">HighByte modelling and flow control</w:t>
      </w:r>
    </w:p>
    <w:p>
      <w:pPr>
        <w:numPr>
          <w:ilvl w:val="0"/>
          <w:numId w:val="1002"/>
        </w:numPr>
      </w:pPr>
      <w:r>
        <w:rPr>
          <w:b/>
          <w:bCs/>
        </w:rPr>
        <w:t xml:space="preserve">Standardise and contextualise data</w:t>
      </w:r>
      <w:r>
        <w:t xml:space="preserve"> </w:t>
      </w:r>
      <w:r>
        <w:t xml:space="preserve">– HighByte supports modelling machines, products and processes. Models should incorporate metadata (units, timestamp, engineering limits), relationships (equipment→sensor→measurement) and normalised units. Standard models allow data to be compared across machines</w:t>
      </w:r>
      <w:hyperlink r:id="rId36">
        <w:r>
          <w:rPr>
            <w:rStyle w:val="Hyperlink"/>
          </w:rPr>
          <w:t xml:space="preserve">[24]</w:t>
        </w:r>
      </w:hyperlink>
      <w:r>
        <w:t xml:space="preserve">.</w:t>
      </w:r>
    </w:p>
    <w:p>
      <w:pPr>
        <w:pStyle w:val="Compact"/>
        <w:numPr>
          <w:ilvl w:val="0"/>
          <w:numId w:val="1002"/>
        </w:numPr>
      </w:pPr>
      <w:r>
        <w:rPr>
          <w:b/>
          <w:bCs/>
        </w:rPr>
        <w:t xml:space="preserve">Connection management</w:t>
      </w:r>
      <w:r>
        <w:t xml:space="preserve"> </w:t>
      </w:r>
      <w:r>
        <w:t xml:space="preserve">– Create connections for DeltaV (via OPC UA), for PI (historian), for Ignition (SCADA), for HiveMQ and for event DBs. Use separate credentials and secure connections. Map each model to one or more outputs (MQTT, REST, PI). HighByte’s flow control allows enabling/disabling flows and adjusting sampling frequencies, which is critical for managing data criticality</w:t>
      </w:r>
      <w:hyperlink r:id="rId36">
        <w:r>
          <w:rPr>
            <w:rStyle w:val="Hyperlink"/>
          </w:rPr>
          <w:t xml:space="preserve">[25]</w:t>
        </w:r>
      </w:hyperlink>
      <w:r>
        <w:t xml:space="preserve">.</w:t>
      </w:r>
    </w:p>
    <w:p>
      <w:pPr>
        <w:numPr>
          <w:ilvl w:val="0"/>
          <w:numId w:val="1002"/>
        </w:numPr>
      </w:pPr>
      <w:r>
        <w:rPr>
          <w:b/>
          <w:bCs/>
        </w:rPr>
        <w:t xml:space="preserve">Transformations at the edge</w:t>
      </w:r>
      <w:r>
        <w:t xml:space="preserve"> </w:t>
      </w:r>
      <w:r>
        <w:t xml:space="preserve">– Use HighByte’s transformation engine to calculate derived parameters (e.g., specific growth rate), convert units, and combine multiple tags into a single payload</w:t>
      </w:r>
      <w:hyperlink r:id="rId45">
        <w:r>
          <w:rPr>
            <w:rStyle w:val="Hyperlink"/>
          </w:rPr>
          <w:t xml:space="preserve">[26]</w:t>
        </w:r>
      </w:hyperlink>
      <w:r>
        <w:t xml:space="preserve">. Performing calculations at the edge reduces volume and latency.</w:t>
      </w:r>
    </w:p>
    <w:p>
      <w:pPr>
        <w:numPr>
          <w:ilvl w:val="0"/>
          <w:numId w:val="1002"/>
        </w:numPr>
      </w:pPr>
      <w:r>
        <w:rPr>
          <w:b/>
          <w:bCs/>
        </w:rPr>
        <w:t xml:space="preserve">SCADA integration (Ignition)</w:t>
      </w:r>
    </w:p>
    <w:p>
      <w:pPr>
        <w:numPr>
          <w:ilvl w:val="0"/>
          <w:numId w:val="1002"/>
        </w:numPr>
      </w:pPr>
      <w:r>
        <w:t xml:space="preserve">Ignition will subscribe to UNS topics using the MQTT Engine module (Sparkplug B). It will display process values, alarming and event information to operators. For GxP, configure the audit log to record user actions, set‑point changes and acknowledgements; store these logs in an audit database using separate credentials and restricted privileges</w:t>
      </w:r>
      <w:hyperlink r:id="rId46">
        <w:r>
          <w:rPr>
            <w:rStyle w:val="Hyperlink"/>
          </w:rPr>
          <w:t xml:space="preserve">[27]</w:t>
        </w:r>
      </w:hyperlink>
      <w:r>
        <w:t xml:space="preserve">.</w:t>
      </w:r>
    </w:p>
    <w:p>
      <w:pPr>
        <w:pStyle w:val="Compact"/>
        <w:numPr>
          <w:ilvl w:val="0"/>
          <w:numId w:val="1002"/>
        </w:numPr>
      </w:pPr>
      <w:r>
        <w:t xml:space="preserve">Use Ignition’s secure identity integration: connect to Active Directory or another IdP; enforce multi‑factor authentication; assign roles via groups</w:t>
      </w:r>
      <w:hyperlink r:id="rId29">
        <w:r>
          <w:rPr>
            <w:rStyle w:val="Hyperlink"/>
          </w:rPr>
          <w:t xml:space="preserve">[8]</w:t>
        </w:r>
      </w:hyperlink>
      <w:r>
        <w:t xml:space="preserve">. Configure secure gateways with TLS, strong cipher suites and secure LDAP</w:t>
      </w:r>
      <w:hyperlink r:id="rId38">
        <w:r>
          <w:rPr>
            <w:rStyle w:val="Hyperlink"/>
          </w:rPr>
          <w:t xml:space="preserve">[17]</w:t>
        </w:r>
      </w:hyperlink>
      <w:r>
        <w:t xml:space="preserve">. Apply network segmentation and use front‑end (stateless) and I/O gateways with redundancy</w:t>
      </w:r>
      <w:hyperlink r:id="rId30">
        <w:r>
          <w:rPr>
            <w:rStyle w:val="Hyperlink"/>
          </w:rPr>
          <w:t xml:space="preserve">[9]</w:t>
        </w:r>
      </w:hyperlink>
      <w:r>
        <w:t xml:space="preserve">.</w:t>
      </w:r>
    </w:p>
    <w:p>
      <w:pPr>
        <w:numPr>
          <w:ilvl w:val="0"/>
          <w:numId w:val="1002"/>
        </w:numPr>
      </w:pPr>
      <w:r>
        <w:t xml:space="preserve">For electronic signatures and two‑person integrity, use Ignition’s</w:t>
      </w:r>
      <w:r>
        <w:t xml:space="preserve"> </w:t>
      </w:r>
      <w:r>
        <w:rPr>
          <w:rStyle w:val="VerbatimChar"/>
        </w:rPr>
        <w:t xml:space="preserve">system.security.validateUser</w:t>
      </w:r>
      <w:r>
        <w:t xml:space="preserve"> </w:t>
      </w:r>
      <w:r>
        <w:t xml:space="preserve">and</w:t>
      </w:r>
      <w:r>
        <w:t xml:space="preserve"> </w:t>
      </w:r>
      <w:r>
        <w:rPr>
          <w:rStyle w:val="VerbatimChar"/>
        </w:rPr>
        <w:t xml:space="preserve">system.perspective.authenticationChallenge</w:t>
      </w:r>
      <w:r>
        <w:t xml:space="preserve"> </w:t>
      </w:r>
      <w:r>
        <w:t xml:space="preserve">functions</w:t>
      </w:r>
      <w:hyperlink r:id="rId47">
        <w:r>
          <w:rPr>
            <w:rStyle w:val="Hyperlink"/>
          </w:rPr>
          <w:t xml:space="preserve">[28]</w:t>
        </w:r>
      </w:hyperlink>
      <w:r>
        <w:t xml:space="preserve">. This supports “Done‑by/Checked‑by” workflows required by Part 11.</w:t>
      </w:r>
    </w:p>
    <w:p>
      <w:pPr>
        <w:numPr>
          <w:ilvl w:val="0"/>
          <w:numId w:val="1002"/>
        </w:numPr>
      </w:pPr>
      <w:r>
        <w:rPr>
          <w:b/>
          <w:bCs/>
        </w:rPr>
        <w:t xml:space="preserve">Historian integration (AVEVA PI)</w:t>
      </w:r>
    </w:p>
    <w:p>
      <w:pPr>
        <w:numPr>
          <w:ilvl w:val="0"/>
          <w:numId w:val="1002"/>
        </w:numPr>
      </w:pPr>
      <w:r>
        <w:t xml:space="preserve">Deploy the</w:t>
      </w:r>
      <w:r>
        <w:t xml:space="preserve"> </w:t>
      </w:r>
      <w:r>
        <w:rPr>
          <w:b/>
          <w:bCs/>
        </w:rPr>
        <w:t xml:space="preserve">PI Interface for Emerson DeltaV Batch</w:t>
      </w:r>
      <w:r>
        <w:t xml:space="preserve"> </w:t>
      </w:r>
      <w:r>
        <w:t xml:space="preserve">(or PI Connector) on a validated Windows server inside the plant DMZ. Configure OPC DA/UA data sources for continuous tags and event frame sources for batch events. Define scanning rates based on tag criticality (e.g., 1 s for critical parameters, 30 s for monitoring). Use</w:t>
      </w:r>
      <w:r>
        <w:t xml:space="preserve"> </w:t>
      </w:r>
      <w:r>
        <w:rPr>
          <w:b/>
          <w:bCs/>
        </w:rPr>
        <w:t xml:space="preserve">Digital State sets</w:t>
      </w:r>
      <w:r>
        <w:t xml:space="preserve"> </w:t>
      </w:r>
      <w:r>
        <w:t xml:space="preserve">and</w:t>
      </w:r>
      <w:r>
        <w:t xml:space="preserve"> </w:t>
      </w:r>
      <w:r>
        <w:rPr>
          <w:b/>
          <w:bCs/>
        </w:rPr>
        <w:t xml:space="preserve">Exception/Compression</w:t>
      </w:r>
      <w:r>
        <w:t xml:space="preserve"> </w:t>
      </w:r>
      <w:r>
        <w:t xml:space="preserve">to reduce data volume while preserving fidelity.</w:t>
      </w:r>
    </w:p>
    <w:p>
      <w:pPr>
        <w:pStyle w:val="Compact"/>
        <w:numPr>
          <w:ilvl w:val="0"/>
          <w:numId w:val="1002"/>
        </w:numPr>
      </w:pPr>
      <w:r>
        <w:t xml:space="preserve">Configure</w:t>
      </w:r>
      <w:r>
        <w:t xml:space="preserve"> </w:t>
      </w:r>
      <w:r>
        <w:rPr>
          <w:b/>
          <w:bCs/>
        </w:rPr>
        <w:t xml:space="preserve">PI AF (Asset Framework)</w:t>
      </w:r>
      <w:r>
        <w:t xml:space="preserve"> </w:t>
      </w:r>
      <w:r>
        <w:t xml:space="preserve">to mirror the UNS hierarchy and DeltaV equipment hierarchy (ISA‑88). Create templates for unit operations, equipment modules and instruments. Link PI points to HighByte models via attributes. Use event frames to record batch context and phase transitions; these support CPV and APR reporting.</w:t>
      </w:r>
    </w:p>
    <w:p>
      <w:pPr>
        <w:numPr>
          <w:ilvl w:val="0"/>
          <w:numId w:val="1002"/>
        </w:numPr>
      </w:pPr>
      <w:r>
        <w:t xml:space="preserve">Ensure time synchronisation across DeltaV, PI interface and PI servers via NTP. Enable security: use PI Identity and trust configuration; restrict write access; enable audit logs.</w:t>
      </w:r>
    </w:p>
    <w:p>
      <w:pPr>
        <w:numPr>
          <w:ilvl w:val="0"/>
          <w:numId w:val="1002"/>
        </w:numPr>
      </w:pPr>
      <w:r>
        <w:rPr>
          <w:b/>
          <w:bCs/>
        </w:rPr>
        <w:t xml:space="preserve">Event database(s)</w:t>
      </w:r>
    </w:p>
    <w:p>
      <w:pPr>
        <w:numPr>
          <w:ilvl w:val="0"/>
          <w:numId w:val="1002"/>
        </w:numPr>
      </w:pPr>
      <w:r>
        <w:t xml:space="preserve">Identify events requiring relational storage separate from time‑series data – for example, equipment state changes, interlock overrides, manual sampling events, manufacturing instruction confirmations or exception reports. For each event type, define a schema that captures the event ID, timestamp, source, context (batch/equipment), attributes and user identity. Use ACID‑compliant database engines (PostgreSQL, SQL Server) configured with write‑ahead logging and audit trails.</w:t>
      </w:r>
    </w:p>
    <w:p>
      <w:pPr>
        <w:numPr>
          <w:ilvl w:val="0"/>
          <w:numId w:val="1002"/>
        </w:numPr>
      </w:pPr>
      <w:r>
        <w:t xml:space="preserve">Connect HighByte to the event database using its REST client or database connector to publish events when triggered. Alternatively, capture events from MQTT into a microservice that writes to the event DB. Apply stored procedures or triggers to enforce integrity and maintain a tamper‑evident audit trail.</w:t>
      </w:r>
    </w:p>
    <w:p>
      <w:pPr>
        <w:numPr>
          <w:ilvl w:val="0"/>
          <w:numId w:val="1002"/>
        </w:numPr>
      </w:pPr>
      <w:r>
        <w:rPr>
          <w:b/>
          <w:bCs/>
        </w:rPr>
        <w:t xml:space="preserve">Data lake ingestion and governance</w:t>
      </w:r>
    </w:p>
    <w:p>
      <w:pPr>
        <w:numPr>
          <w:ilvl w:val="0"/>
          <w:numId w:val="1002"/>
        </w:numPr>
      </w:pPr>
      <w:r>
        <w:rPr>
          <w:b/>
          <w:bCs/>
        </w:rPr>
        <w:t xml:space="preserve">Define zones and digital thread</w:t>
      </w:r>
      <w:r>
        <w:t xml:space="preserve"> </w:t>
      </w:r>
      <w:r>
        <w:t xml:space="preserve">– Ingest raw copies of data from PI, event DBs, MES, LIMS and QMS into a</w:t>
      </w:r>
      <w:r>
        <w:t xml:space="preserve"> </w:t>
      </w:r>
      <w:r>
        <w:rPr>
          <w:b/>
          <w:bCs/>
        </w:rPr>
        <w:t xml:space="preserve">raw zone</w:t>
      </w:r>
      <w:r>
        <w:t xml:space="preserve">. The raw zone must be immutable and store files or tables exactly as retrieved. Use an</w:t>
      </w:r>
      <w:r>
        <w:t xml:space="preserve"> </w:t>
      </w:r>
      <w:r>
        <w:rPr>
          <w:b/>
          <w:bCs/>
        </w:rPr>
        <w:t xml:space="preserve">ingestion metadata catalogue</w:t>
      </w:r>
      <w:r>
        <w:t xml:space="preserve"> </w:t>
      </w:r>
      <w:r>
        <w:t xml:space="preserve">to record file names, timestamps, source system and checksums. Apply</w:t>
      </w:r>
      <w:r>
        <w:t xml:space="preserve"> </w:t>
      </w:r>
      <w:r>
        <w:rPr>
          <w:b/>
          <w:bCs/>
        </w:rPr>
        <w:t xml:space="preserve">refined/curated zone</w:t>
      </w:r>
      <w:r>
        <w:t xml:space="preserve"> </w:t>
      </w:r>
      <w:r>
        <w:t xml:space="preserve">transformations via version‑controlled pipelines; harmonise units, join data sets and create curated tables (data products) such as</w:t>
      </w:r>
      <w:r>
        <w:t xml:space="preserve"> </w:t>
      </w:r>
      <w:r>
        <w:rPr>
          <w:rStyle w:val="VerbatimChar"/>
        </w:rPr>
        <w:t xml:space="preserve">Process_Parameters_CPV</w:t>
      </w:r>
      <w:r>
        <w:t xml:space="preserve"> </w:t>
      </w:r>
      <w:r>
        <w:t xml:space="preserve">or</w:t>
      </w:r>
      <w:r>
        <w:t xml:space="preserve"> </w:t>
      </w:r>
      <w:r>
        <w:rPr>
          <w:rStyle w:val="VerbatimChar"/>
        </w:rPr>
        <w:t xml:space="preserve">Batch_Master</w:t>
      </w:r>
      <w:r>
        <w:t xml:space="preserve">. Maintain a</w:t>
      </w:r>
      <w:r>
        <w:t xml:space="preserve"> </w:t>
      </w:r>
      <w:r>
        <w:rPr>
          <w:b/>
          <w:bCs/>
        </w:rPr>
        <w:t xml:space="preserve">sandbox zone</w:t>
      </w:r>
      <w:r>
        <w:t xml:space="preserve"> </w:t>
      </w:r>
      <w:r>
        <w:t xml:space="preserve">for ad‑hoc analysis, but exclude sandbox outputs from regulated decisions</w:t>
      </w:r>
      <w:hyperlink r:id="rId41">
        <w:r>
          <w:rPr>
            <w:rStyle w:val="Hyperlink"/>
          </w:rPr>
          <w:t xml:space="preserve">[29]</w:t>
        </w:r>
      </w:hyperlink>
      <w:r>
        <w:t xml:space="preserve">.</w:t>
      </w:r>
    </w:p>
    <w:p>
      <w:pPr>
        <w:pStyle w:val="Compact"/>
        <w:numPr>
          <w:ilvl w:val="0"/>
          <w:numId w:val="1002"/>
        </w:numPr>
      </w:pPr>
      <w:r>
        <w:rPr>
          <w:b/>
          <w:bCs/>
        </w:rPr>
        <w:t xml:space="preserve">Preserve ALCOA+ and audit trails</w:t>
      </w:r>
      <w:r>
        <w:t xml:space="preserve"> </w:t>
      </w:r>
      <w:r>
        <w:t xml:space="preserve">– Each transformation job must log its parameters, code version, input files and output location. Enforce synchronised timestamps, avoid uncontrolled overwrites, and maintain complete histories</w:t>
      </w:r>
      <w:hyperlink r:id="rId42">
        <w:r>
          <w:rPr>
            <w:rStyle w:val="Hyperlink"/>
          </w:rPr>
          <w:t xml:space="preserve">[21]</w:t>
        </w:r>
      </w:hyperlink>
      <w:r>
        <w:t xml:space="preserve">. Use append‑only storage (e.g., parquet with Delta Lake or Apache Hudi) to guarantee immutability. Provide queryable audit trails for dataset schema changes.</w:t>
      </w:r>
    </w:p>
    <w:p>
      <w:pPr>
        <w:numPr>
          <w:ilvl w:val="0"/>
          <w:numId w:val="1002"/>
        </w:numPr>
      </w:pPr>
      <w:r>
        <w:rPr>
          <w:b/>
          <w:bCs/>
        </w:rPr>
        <w:t xml:space="preserve">Governance and metadata</w:t>
      </w:r>
      <w:r>
        <w:t xml:space="preserve"> </w:t>
      </w:r>
      <w:r>
        <w:t xml:space="preserve">– Assign stewards to each curated table; document business definitions and quality checks</w:t>
      </w:r>
      <w:hyperlink r:id="rId31">
        <w:r>
          <w:rPr>
            <w:rStyle w:val="Hyperlink"/>
          </w:rPr>
          <w:t xml:space="preserve">[11]</w:t>
        </w:r>
      </w:hyperlink>
      <w:r>
        <w:t xml:space="preserve">. Implement access control using roles: e.g., Data Engineer, QA Reviewer, Analyst. Ensure segregation of duties: administrators do not alter data products; analysts cannot modify transformation logic</w:t>
      </w:r>
      <w:hyperlink r:id="rId48">
        <w:r>
          <w:rPr>
            <w:rStyle w:val="Hyperlink"/>
          </w:rPr>
          <w:t xml:space="preserve">[30]</w:t>
        </w:r>
      </w:hyperlink>
      <w:r>
        <w:t xml:space="preserve">. Use encryption at rest and in transit; maintain incident‑response plans.</w:t>
      </w:r>
    </w:p>
    <w:p>
      <w:pPr>
        <w:numPr>
          <w:ilvl w:val="0"/>
          <w:numId w:val="1002"/>
        </w:numPr>
      </w:pPr>
      <w:r>
        <w:rPr>
          <w:b/>
          <w:bCs/>
        </w:rPr>
        <w:t xml:space="preserve">Enterprise consumption and advanced analytics</w:t>
      </w:r>
    </w:p>
    <w:p>
      <w:pPr>
        <w:numPr>
          <w:ilvl w:val="0"/>
          <w:numId w:val="1002"/>
        </w:numPr>
      </w:pPr>
      <w:r>
        <w:t xml:space="preserve">SCADA, MES, LIMS, QMS and analytics tools subscribe to MQTT topics or query the data lake. Use PI Vision or other dashboards for trending and alarm analysis; use MES for electronic batch records (EBR). Data scientists can run CPV, SPC, PQR and AI models on curated tables. When AI models influence set points or release decisions, treat them like control strategy elements; apply validation and change control</w:t>
      </w:r>
      <w:hyperlink r:id="rId49">
        <w:r>
          <w:rPr>
            <w:rStyle w:val="Hyperlink"/>
          </w:rPr>
          <w:t xml:space="preserve">[31]</w:t>
        </w:r>
      </w:hyperlink>
      <w:r>
        <w:t xml:space="preserve">.</w:t>
      </w:r>
    </w:p>
    <w:bookmarkEnd w:id="50"/>
    <w:bookmarkEnd w:id="51"/>
    <w:bookmarkStart w:id="54" w:name="event-specification-and-data-criticality"/>
    <w:p>
      <w:pPr>
        <w:pStyle w:val="Heading2"/>
      </w:pPr>
      <w:r>
        <w:t xml:space="preserve">Event specification and data criticality</w:t>
      </w:r>
    </w:p>
    <w:bookmarkStart w:id="52" w:name="event-classification"/>
    <w:p>
      <w:pPr>
        <w:pStyle w:val="Heading3"/>
      </w:pPr>
      <w:r>
        <w:t xml:space="preserve">Event classification</w:t>
      </w:r>
    </w:p>
    <w:p>
      <w:pPr>
        <w:pStyle w:val="Compact"/>
        <w:numPr>
          <w:ilvl w:val="0"/>
          <w:numId w:val="1003"/>
        </w:numPr>
      </w:pPr>
      <w:r>
        <w:rPr>
          <w:b/>
          <w:bCs/>
        </w:rPr>
        <w:t xml:space="preserve">Critical process parameters (CPP)</w:t>
      </w:r>
      <w:r>
        <w:t xml:space="preserve"> </w:t>
      </w:r>
      <w:r>
        <w:t xml:space="preserve">– parameters that directly impact product quality, patient safety or regulatory compliance (e.g., temperature, pH, agitation speed). These require high sampling rates, QoS 2, persistent storage and strict audit. They must be recorded in both PI and the data lake; any missing data triggers a deviation.</w:t>
      </w:r>
    </w:p>
    <w:p>
      <w:pPr>
        <w:pStyle w:val="Compact"/>
        <w:numPr>
          <w:ilvl w:val="0"/>
          <w:numId w:val="1003"/>
        </w:numPr>
      </w:pPr>
      <w:r>
        <w:rPr>
          <w:b/>
          <w:bCs/>
        </w:rPr>
        <w:t xml:space="preserve">Key performance indicators (KPI)</w:t>
      </w:r>
      <w:r>
        <w:t xml:space="preserve"> </w:t>
      </w:r>
      <w:r>
        <w:t xml:space="preserve">– used for process optimisation and predictive maintenance (e.g., energy consumption, utility flow). Moderate sampling and QoS 1 may suffice. Stored in PI and forwarded to the data lake; not necessarily part of batch record.</w:t>
      </w:r>
    </w:p>
    <w:p>
      <w:pPr>
        <w:pStyle w:val="Compact"/>
        <w:numPr>
          <w:ilvl w:val="0"/>
          <w:numId w:val="1003"/>
        </w:numPr>
      </w:pPr>
      <w:r>
        <w:rPr>
          <w:b/>
          <w:bCs/>
        </w:rPr>
        <w:t xml:space="preserve">Alarms and events</w:t>
      </w:r>
      <w:r>
        <w:t xml:space="preserve"> </w:t>
      </w:r>
      <w:r>
        <w:t xml:space="preserve">– DeltaV alarms (high/low/critical), batch start/stop, phase transitions, operator actions. These events require QoS 2, retention and immediate notification in Ignition. They should be stored in the event DB and optionally forwarded to PI as event frames.</w:t>
      </w:r>
    </w:p>
    <w:p>
      <w:pPr>
        <w:pStyle w:val="Compact"/>
        <w:numPr>
          <w:ilvl w:val="0"/>
          <w:numId w:val="1003"/>
        </w:numPr>
      </w:pPr>
      <w:r>
        <w:rPr>
          <w:b/>
          <w:bCs/>
        </w:rPr>
        <w:t xml:space="preserve">Administrative/maintenance events</w:t>
      </w:r>
      <w:r>
        <w:t xml:space="preserve"> </w:t>
      </w:r>
      <w:r>
        <w:t xml:space="preserve">– system diagnostics, equipment health, maintenance tasks. Lower criticality; may be stored only in data lake for analytics.</w:t>
      </w:r>
    </w:p>
    <w:bookmarkEnd w:id="52"/>
    <w:bookmarkStart w:id="53" w:name="topic-structure-and-metadata"/>
    <w:p>
      <w:pPr>
        <w:pStyle w:val="Heading3"/>
      </w:pPr>
      <w:r>
        <w:t xml:space="preserve">Topic structure and metadata</w:t>
      </w:r>
    </w:p>
    <w:p>
      <w:pPr>
        <w:pStyle w:val="FirstParagraph"/>
      </w:pPr>
      <w:r>
        <w:t xml:space="preserve">Design MQTT topics to include the following metadata:</w:t>
      </w:r>
    </w:p>
    <w:p>
      <w:pPr>
        <w:pStyle w:val="Compact"/>
        <w:numPr>
          <w:ilvl w:val="0"/>
          <w:numId w:val="1004"/>
        </w:numPr>
      </w:pPr>
      <w:r>
        <w:rPr>
          <w:b/>
          <w:bCs/>
        </w:rPr>
        <w:t xml:space="preserve">Site/Area/Equipment</w:t>
      </w:r>
      <w:r>
        <w:t xml:space="preserve"> </w:t>
      </w:r>
      <w:r>
        <w:t xml:space="preserve">–</w:t>
      </w:r>
      <w:r>
        <w:t xml:space="preserve"> </w:t>
      </w:r>
      <w:r>
        <w:rPr>
          <w:rStyle w:val="VerbatimChar"/>
        </w:rPr>
        <w:t xml:space="preserve">Site1/AreaA/Bioreactor1</w:t>
      </w:r>
      <w:r>
        <w:t xml:space="preserve">.</w:t>
      </w:r>
    </w:p>
    <w:p>
      <w:pPr>
        <w:pStyle w:val="Compact"/>
        <w:numPr>
          <w:ilvl w:val="0"/>
          <w:numId w:val="1004"/>
        </w:numPr>
      </w:pPr>
      <w:r>
        <w:rPr>
          <w:b/>
          <w:bCs/>
        </w:rPr>
        <w:t xml:space="preserve">Measurement/Event type</w:t>
      </w:r>
      <w:r>
        <w:t xml:space="preserve"> </w:t>
      </w:r>
      <w:r>
        <w:t xml:space="preserve">–</w:t>
      </w:r>
      <w:r>
        <w:t xml:space="preserve"> </w:t>
      </w:r>
      <w:r>
        <w:rPr>
          <w:rStyle w:val="VerbatimChar"/>
        </w:rPr>
        <w:t xml:space="preserve">Temperature</w:t>
      </w:r>
      <w:r>
        <w:t xml:space="preserve">,</w:t>
      </w:r>
      <w:r>
        <w:t xml:space="preserve"> </w:t>
      </w:r>
      <w:r>
        <w:rPr>
          <w:rStyle w:val="VerbatimChar"/>
        </w:rPr>
        <w:t xml:space="preserve">pH</w:t>
      </w:r>
      <w:r>
        <w:t xml:space="preserve">,</w:t>
      </w:r>
      <w:r>
        <w:t xml:space="preserve"> </w:t>
      </w:r>
      <w:r>
        <w:rPr>
          <w:rStyle w:val="VerbatimChar"/>
        </w:rPr>
        <w:t xml:space="preserve">BatchStart</w:t>
      </w:r>
      <w:r>
        <w:t xml:space="preserve">,</w:t>
      </w:r>
      <w:r>
        <w:t xml:space="preserve"> </w:t>
      </w:r>
      <w:r>
        <w:rPr>
          <w:rStyle w:val="VerbatimChar"/>
        </w:rPr>
        <w:t xml:space="preserve">AlarmHighTemp</w:t>
      </w:r>
      <w:r>
        <w:t xml:space="preserve">.</w:t>
      </w:r>
    </w:p>
    <w:p>
      <w:pPr>
        <w:pStyle w:val="Compact"/>
        <w:numPr>
          <w:ilvl w:val="0"/>
          <w:numId w:val="1004"/>
        </w:numPr>
      </w:pPr>
      <w:r>
        <w:rPr>
          <w:b/>
          <w:bCs/>
        </w:rPr>
        <w:t xml:space="preserve">Units and context</w:t>
      </w:r>
      <w:r>
        <w:t xml:space="preserve"> </w:t>
      </w:r>
      <w:r>
        <w:t xml:space="preserve">– include units in payload metadata; for events, include associated batch ID, recipe, set‑point and user ID.</w:t>
      </w:r>
    </w:p>
    <w:p>
      <w:pPr>
        <w:pStyle w:val="Compact"/>
        <w:numPr>
          <w:ilvl w:val="0"/>
          <w:numId w:val="1004"/>
        </w:numPr>
      </w:pPr>
      <w:r>
        <w:rPr>
          <w:b/>
          <w:bCs/>
        </w:rPr>
        <w:t xml:space="preserve">Timestamp</w:t>
      </w:r>
      <w:r>
        <w:t xml:space="preserve"> </w:t>
      </w:r>
      <w:r>
        <w:t xml:space="preserve">– use ISO 8601 UTC; where DeltaV uses local time, convert at the edge.</w:t>
      </w:r>
    </w:p>
    <w:p>
      <w:pPr>
        <w:pStyle w:val="Compact"/>
        <w:numPr>
          <w:ilvl w:val="0"/>
          <w:numId w:val="1004"/>
        </w:numPr>
      </w:pPr>
      <w:r>
        <w:rPr>
          <w:b/>
          <w:bCs/>
        </w:rPr>
        <w:t xml:space="preserve">Quality flag</w:t>
      </w:r>
      <w:r>
        <w:t xml:space="preserve"> </w:t>
      </w:r>
      <w:r>
        <w:t xml:space="preserve">– indicate good/bad quality, uncertain, sensor error.</w:t>
      </w:r>
    </w:p>
    <w:p>
      <w:pPr>
        <w:pStyle w:val="Compact"/>
        <w:numPr>
          <w:ilvl w:val="0"/>
          <w:numId w:val="1004"/>
        </w:numPr>
      </w:pPr>
      <w:r>
        <w:rPr>
          <w:b/>
          <w:bCs/>
        </w:rPr>
        <w:t xml:space="preserve">Sequence number</w:t>
      </w:r>
      <w:r>
        <w:t xml:space="preserve"> </w:t>
      </w:r>
      <w:r>
        <w:t xml:space="preserve">– Sparkplug B sequence ensures ordering and detection of missed messages.</w:t>
      </w:r>
    </w:p>
    <w:p>
      <w:pPr>
        <w:pStyle w:val="FirstParagraph"/>
      </w:pPr>
      <w:r>
        <w:t xml:space="preserve">Use JSON or Sparkplug B binary payloads; the latter includes state management (birth/death certificates) which help with deterministic behaviour.</w:t>
      </w:r>
    </w:p>
    <w:bookmarkEnd w:id="53"/>
    <w:bookmarkEnd w:id="54"/>
    <w:bookmarkStart w:id="55" w:name="design-development-and-configuration"/>
    <w:p>
      <w:pPr>
        <w:pStyle w:val="Heading2"/>
      </w:pPr>
      <w:r>
        <w:t xml:space="preserve">Design, development and configuration</w:t>
      </w:r>
    </w:p>
    <w:p>
      <w:pPr>
        <w:pStyle w:val="Compact"/>
        <w:numPr>
          <w:ilvl w:val="0"/>
          <w:numId w:val="1005"/>
        </w:numPr>
      </w:pPr>
      <w:r>
        <w:rPr>
          <w:b/>
          <w:bCs/>
        </w:rPr>
        <w:t xml:space="preserve">System design</w:t>
      </w:r>
    </w:p>
    <w:p>
      <w:pPr>
        <w:pStyle w:val="Compact"/>
        <w:numPr>
          <w:ilvl w:val="0"/>
          <w:numId w:val="1005"/>
        </w:numPr>
      </w:pPr>
      <w:r>
        <w:t xml:space="preserve">Create an architecture diagram showing DeltaV, HighByte, HiveMQ, Ignition, PI, Event DB, Data Lake and enterprise systems. Document data flow directions, network zones, ports and protocols. Identify regulated boundaries and segmentation.</w:t>
      </w:r>
    </w:p>
    <w:p>
      <w:pPr>
        <w:pStyle w:val="Compact"/>
        <w:numPr>
          <w:ilvl w:val="0"/>
          <w:numId w:val="1005"/>
        </w:numPr>
      </w:pPr>
      <w:r>
        <w:t xml:space="preserve">Develop data models aligned to ISA‑95/ISA‑88: define site, area, line, equipment, unit, module, phase. Use these models consistently across HighByte, PI AF and UNS.</w:t>
      </w:r>
    </w:p>
    <w:p>
      <w:pPr>
        <w:numPr>
          <w:ilvl w:val="0"/>
          <w:numId w:val="1005"/>
        </w:numPr>
      </w:pPr>
      <w:r>
        <w:t xml:space="preserve">Define naming conventions for tags, models and topics. Avoid ambiguous abbreviations; include versioning when designating models.</w:t>
      </w:r>
    </w:p>
    <w:p>
      <w:pPr>
        <w:numPr>
          <w:ilvl w:val="0"/>
          <w:numId w:val="1005"/>
        </w:numPr>
      </w:pPr>
      <w:r>
        <w:rPr>
          <w:b/>
          <w:bCs/>
        </w:rPr>
        <w:t xml:space="preserve">Configuration and development</w:t>
      </w:r>
    </w:p>
    <w:p>
      <w:pPr>
        <w:pStyle w:val="Compact"/>
        <w:numPr>
          <w:ilvl w:val="0"/>
          <w:numId w:val="1005"/>
        </w:numPr>
      </w:pPr>
      <w:r>
        <w:t xml:space="preserve">Configure DeltaV OPC DA/UA servers; set up alarms and event classes. Document tag lists and scanning rates with justification based on risk (CPP vs KPI).</w:t>
      </w:r>
    </w:p>
    <w:p>
      <w:pPr>
        <w:pStyle w:val="Compact"/>
        <w:numPr>
          <w:ilvl w:val="0"/>
          <w:numId w:val="1005"/>
        </w:numPr>
      </w:pPr>
      <w:r>
        <w:t xml:space="preserve">Configure HighByte connections: create OPC UA connection to DeltaV; create PI connection; create MQTT broker connection. Build models (e.g.,</w:t>
      </w:r>
      <w:r>
        <w:t xml:space="preserve"> </w:t>
      </w:r>
      <w:r>
        <w:rPr>
          <w:rStyle w:val="VerbatimChar"/>
        </w:rPr>
        <w:t xml:space="preserve">Bioreactor</w:t>
      </w:r>
      <w:r>
        <w:t xml:space="preserve"> </w:t>
      </w:r>
      <w:r>
        <w:t xml:space="preserve">model with attributes</w:t>
      </w:r>
      <w:r>
        <w:t xml:space="preserve"> </w:t>
      </w:r>
      <w:r>
        <w:rPr>
          <w:rStyle w:val="VerbatimChar"/>
        </w:rPr>
        <w:t xml:space="preserve">Temperature</w:t>
      </w:r>
      <w:r>
        <w:t xml:space="preserve">,</w:t>
      </w:r>
      <w:r>
        <w:t xml:space="preserve"> </w:t>
      </w:r>
      <w:r>
        <w:rPr>
          <w:rStyle w:val="VerbatimChar"/>
        </w:rPr>
        <w:t xml:space="preserve">AgitationSpeed</w:t>
      </w:r>
      <w:r>
        <w:t xml:space="preserve">,</w:t>
      </w:r>
      <w:r>
        <w:t xml:space="preserve"> </w:t>
      </w:r>
      <w:r>
        <w:rPr>
          <w:rStyle w:val="VerbatimChar"/>
        </w:rPr>
        <w:t xml:space="preserve">pH</w:t>
      </w:r>
      <w:r>
        <w:t xml:space="preserve">). Define transformation scripts for unit conversions and calculations.</w:t>
      </w:r>
    </w:p>
    <w:p>
      <w:pPr>
        <w:pStyle w:val="Compact"/>
        <w:numPr>
          <w:ilvl w:val="0"/>
          <w:numId w:val="1005"/>
        </w:numPr>
      </w:pPr>
      <w:r>
        <w:t xml:space="preserve">Define flows: map each model to appropriate outputs (PI, MQTT, database). Set conditions (periodic or event‑driven) for publishing; enable store‑and‑forward buffers to handle network outages.</w:t>
      </w:r>
    </w:p>
    <w:p>
      <w:pPr>
        <w:pStyle w:val="Compact"/>
        <w:numPr>
          <w:ilvl w:val="0"/>
          <w:numId w:val="1005"/>
        </w:numPr>
      </w:pPr>
      <w:r>
        <w:t xml:space="preserve">Configure HiveMQ: deploy in high‑availability cluster; enable persistent storage (e.g., file or database); integrate with enterprise IAM; configure topic‑level ACLs; monitor metrics (connect count, throughput, dropped messages) using Prometheus.</w:t>
      </w:r>
    </w:p>
    <w:p>
      <w:pPr>
        <w:pStyle w:val="Compact"/>
        <w:numPr>
          <w:ilvl w:val="0"/>
          <w:numId w:val="1005"/>
        </w:numPr>
      </w:pPr>
      <w:r>
        <w:t xml:space="preserve">Develop event consumer services (microservices or connectors) to write events to event DB; ensure idempotent operations.</w:t>
      </w:r>
    </w:p>
    <w:p>
      <w:pPr>
        <w:pStyle w:val="Compact"/>
        <w:numPr>
          <w:ilvl w:val="0"/>
          <w:numId w:val="1005"/>
        </w:numPr>
      </w:pPr>
      <w:r>
        <w:t xml:space="preserve">Configure Ignition: install MQTT Engine; create tag providers subscribed to UNS; design HMI screens; configure alarms; set up audit log database; implement electronic signatures; develop scripts for two‑person integrity checks.</w:t>
      </w:r>
    </w:p>
    <w:p>
      <w:pPr>
        <w:pStyle w:val="Compact"/>
        <w:numPr>
          <w:ilvl w:val="0"/>
          <w:numId w:val="1005"/>
        </w:numPr>
      </w:pPr>
      <w:r>
        <w:t xml:space="preserve">Configure PI: create PI points (tags) and event frame templates; configure PI interface; test data flow; develop PI AF templates; configure analytics (PI Vision dashboards).</w:t>
      </w:r>
    </w:p>
    <w:p>
      <w:pPr>
        <w:numPr>
          <w:ilvl w:val="0"/>
          <w:numId w:val="1005"/>
        </w:numPr>
      </w:pPr>
      <w:r>
        <w:t xml:space="preserve">Configure data lake ingestion pipelines using ETL/ELT tools (e.g., Azure Data Factory, AWS Glue). Create ingestion jobs for PI data (via PI AF or OMF), event DB, MES and LIMS. Use metadata ingestion to register datasets and maintain digital thread.</w:t>
      </w:r>
    </w:p>
    <w:p>
      <w:pPr>
        <w:numPr>
          <w:ilvl w:val="0"/>
          <w:numId w:val="1005"/>
        </w:numPr>
      </w:pPr>
      <w:r>
        <w:rPr>
          <w:b/>
          <w:bCs/>
        </w:rPr>
        <w:t xml:space="preserve">Coding standards and version control</w:t>
      </w:r>
    </w:p>
    <w:p>
      <w:pPr>
        <w:pStyle w:val="Compact"/>
        <w:numPr>
          <w:ilvl w:val="0"/>
          <w:numId w:val="1005"/>
        </w:numPr>
      </w:pPr>
      <w:r>
        <w:t xml:space="preserve">Use source control (e.g., Git) for scripts, transformation logic, PI AF templates, SQL definitions and infrastructure‑as‑code (Terraform/Ansible). Track versions and maintain release records.</w:t>
      </w:r>
    </w:p>
    <w:p>
      <w:pPr>
        <w:pStyle w:val="Compact"/>
        <w:numPr>
          <w:ilvl w:val="0"/>
          <w:numId w:val="1005"/>
        </w:numPr>
      </w:pPr>
      <w:r>
        <w:t xml:space="preserve">Document code changes, test cases and results. Use code reviews to ensure compliance with naming conventions, logging and error handling.</w:t>
      </w:r>
    </w:p>
    <w:bookmarkEnd w:id="55"/>
    <w:bookmarkStart w:id="70" w:name="X0206d10c77577c323f0cd84779f731d21525c37"/>
    <w:p>
      <w:pPr>
        <w:pStyle w:val="Heading2"/>
      </w:pPr>
      <w:r>
        <w:t xml:space="preserve">Risk‑based assurance, testing and verification</w:t>
      </w:r>
    </w:p>
    <w:p>
      <w:pPr>
        <w:pStyle w:val="FirstParagraph"/>
      </w:pPr>
      <w:r>
        <w:t xml:space="preserve">Modern regulatory guidance encourages manufacturers to apply</w:t>
      </w:r>
      <w:r>
        <w:t xml:space="preserve"> </w:t>
      </w:r>
      <w:r>
        <w:rPr>
          <w:b/>
          <w:bCs/>
        </w:rPr>
        <w:t xml:space="preserve">computer software assurance (CSA)</w:t>
      </w:r>
      <w:r>
        <w:t xml:space="preserve"> </w:t>
      </w:r>
      <w:r>
        <w:t xml:space="preserve">and focus testing effort on areas that pose the greatest risk to product quality and patient safety. The FDA’s CSA guidance recognises a spectrum of testing approaches –</w:t>
      </w:r>
      <w:r>
        <w:t xml:space="preserve"> </w:t>
      </w:r>
      <w:r>
        <w:rPr>
          <w:b/>
          <w:bCs/>
        </w:rPr>
        <w:t xml:space="preserve">unscripted testing</w:t>
      </w:r>
      <w:r>
        <w:t xml:space="preserve"> </w:t>
      </w:r>
      <w:r>
        <w:t xml:space="preserve">(scenario, exploratory and error‑guessing),</w:t>
      </w:r>
      <w:r>
        <w:t xml:space="preserve"> </w:t>
      </w:r>
      <w:r>
        <w:rPr>
          <w:b/>
          <w:bCs/>
        </w:rPr>
        <w:t xml:space="preserve">ad‑hoc testing</w:t>
      </w:r>
      <w:r>
        <w:t xml:space="preserve">,</w:t>
      </w:r>
      <w:r>
        <w:t xml:space="preserve"> </w:t>
      </w:r>
      <w:r>
        <w:rPr>
          <w:b/>
          <w:bCs/>
        </w:rPr>
        <w:t xml:space="preserve">scripted testing</w:t>
      </w:r>
      <w:r>
        <w:t xml:space="preserve"> </w:t>
      </w:r>
      <w:r>
        <w:t xml:space="preserve">and</w:t>
      </w:r>
      <w:r>
        <w:t xml:space="preserve"> </w:t>
      </w:r>
      <w:r>
        <w:rPr>
          <w:b/>
          <w:bCs/>
        </w:rPr>
        <w:t xml:space="preserve">automated testing</w:t>
      </w:r>
      <w:r>
        <w:t xml:space="preserve"> </w:t>
      </w:r>
      <w:r>
        <w:t xml:space="preserve">– and recommends scaling these based on the</w:t>
      </w:r>
      <w:r>
        <w:t xml:space="preserve"> </w:t>
      </w:r>
      <w:r>
        <w:rPr>
          <w:b/>
          <w:bCs/>
        </w:rPr>
        <w:t xml:space="preserve">process risk</w:t>
      </w:r>
      <w:hyperlink r:id="rId56">
        <w:r>
          <w:rPr>
            <w:rStyle w:val="Hyperlink"/>
          </w:rPr>
          <w:t xml:space="preserve">[32]</w:t>
        </w:r>
      </w:hyperlink>
      <w:hyperlink r:id="rId57">
        <w:r>
          <w:rPr>
            <w:rStyle w:val="Hyperlink"/>
          </w:rPr>
          <w:t xml:space="preserve">[33]</w:t>
        </w:r>
      </w:hyperlink>
      <w:r>
        <w:t xml:space="preserve">. This section replaces the traditional IQ/OQ/PQ structure with a risk‑oriented framework.</w:t>
      </w:r>
    </w:p>
    <w:bookmarkStart w:id="59" w:name="impact-and-risk-assessment"/>
    <w:p>
      <w:pPr>
        <w:pStyle w:val="Heading3"/>
      </w:pPr>
      <w:r>
        <w:t xml:space="preserve">1 Impact and risk assessment</w:t>
      </w:r>
    </w:p>
    <w:p>
      <w:pPr>
        <w:pStyle w:val="FirstParagraph"/>
      </w:pPr>
      <w:r>
        <w:t xml:space="preserve">Identify the</w:t>
      </w:r>
      <w:r>
        <w:t xml:space="preserve"> </w:t>
      </w:r>
      <w:r>
        <w:rPr>
          <w:b/>
          <w:bCs/>
        </w:rPr>
        <w:t xml:space="preserve">intended use</w:t>
      </w:r>
      <w:r>
        <w:t xml:space="preserve"> </w:t>
      </w:r>
      <w:r>
        <w:t xml:space="preserve">of each software component and data flow and classify it as</w:t>
      </w:r>
      <w:r>
        <w:t xml:space="preserve"> </w:t>
      </w:r>
      <w:r>
        <w:rPr>
          <w:b/>
          <w:bCs/>
        </w:rPr>
        <w:t xml:space="preserve">high</w:t>
      </w:r>
      <w:r>
        <w:t xml:space="preserve">,</w:t>
      </w:r>
      <w:r>
        <w:t xml:space="preserve"> </w:t>
      </w:r>
      <w:r>
        <w:rPr>
          <w:b/>
          <w:bCs/>
        </w:rPr>
        <w:t xml:space="preserve">moderate</w:t>
      </w:r>
      <w:r>
        <w:t xml:space="preserve"> </w:t>
      </w:r>
      <w:r>
        <w:t xml:space="preserve">or</w:t>
      </w:r>
      <w:r>
        <w:t xml:space="preserve"> </w:t>
      </w:r>
      <w:r>
        <w:rPr>
          <w:b/>
          <w:bCs/>
        </w:rPr>
        <w:t xml:space="preserve">low</w:t>
      </w:r>
      <w:r>
        <w:t xml:space="preserve"> </w:t>
      </w:r>
      <w:r>
        <w:t xml:space="preserve">process risk. High‑risk functions directly influence critical process parameters (CPP), batch disposition or product release; moderate risk supports process monitoring and alarms; low risk relates to KPIs and maintenance data. For each item, determine:</w:t>
      </w:r>
    </w:p>
    <w:p>
      <w:pPr>
        <w:pStyle w:val="Compact"/>
        <w:numPr>
          <w:ilvl w:val="0"/>
          <w:numId w:val="1006"/>
        </w:numPr>
      </w:pPr>
      <w:r>
        <w:rPr>
          <w:b/>
          <w:bCs/>
        </w:rPr>
        <w:t xml:space="preserve">Process risk</w:t>
      </w:r>
      <w:r>
        <w:t xml:space="preserve"> </w:t>
      </w:r>
      <w:r>
        <w:t xml:space="preserve">– what could go wrong if the software fails? Does failure impact product quality, patient safety, data integrity or regulatory compliance?</w:t>
      </w:r>
    </w:p>
    <w:p>
      <w:pPr>
        <w:pStyle w:val="Compact"/>
        <w:numPr>
          <w:ilvl w:val="0"/>
          <w:numId w:val="1006"/>
        </w:numPr>
      </w:pPr>
      <w:r>
        <w:rPr>
          <w:b/>
          <w:bCs/>
        </w:rPr>
        <w:t xml:space="preserve">Existing controls</w:t>
      </w:r>
      <w:r>
        <w:t xml:space="preserve"> </w:t>
      </w:r>
      <w:r>
        <w:t xml:space="preserve">– are there procedural or technical controls (e.g., segregation of duties, cross‑checks, manual inspections) that mitigate the risk? Additional controls may reduce assurance effort</w:t>
      </w:r>
      <w:hyperlink r:id="rId58">
        <w:r>
          <w:rPr>
            <w:rStyle w:val="Hyperlink"/>
          </w:rPr>
          <w:t xml:space="preserve">[34]</w:t>
        </w:r>
      </w:hyperlink>
      <w:r>
        <w:t xml:space="preserve">.</w:t>
      </w:r>
    </w:p>
    <w:p>
      <w:pPr>
        <w:pStyle w:val="Compact"/>
        <w:numPr>
          <w:ilvl w:val="0"/>
          <w:numId w:val="1006"/>
        </w:numPr>
      </w:pPr>
      <w:r>
        <w:rPr>
          <w:b/>
          <w:bCs/>
        </w:rPr>
        <w:t xml:space="preserve">Complexity and novelty</w:t>
      </w:r>
      <w:r>
        <w:t xml:space="preserve"> </w:t>
      </w:r>
      <w:r>
        <w:t xml:space="preserve">– new integrations or custom code may warrant more rigorous testing than standard vendor‑supplied modules.</w:t>
      </w:r>
    </w:p>
    <w:bookmarkEnd w:id="59"/>
    <w:bookmarkStart w:id="61" w:name="supplier-and-tool-evaluation"/>
    <w:p>
      <w:pPr>
        <w:pStyle w:val="Heading3"/>
      </w:pPr>
      <w:r>
        <w:t xml:space="preserve">2 Supplier and tool evaluation</w:t>
      </w:r>
    </w:p>
    <w:p>
      <w:pPr>
        <w:pStyle w:val="FirstParagraph"/>
      </w:pPr>
      <w:r>
        <w:t xml:space="preserve">Perform a risk‑based supplier assessment using purchasing controls and vendor documentation. Evaluate the vendor’s software development practices, validation evidence, cybersecurity controls and certifications</w:t>
      </w:r>
      <w:hyperlink r:id="rId60">
        <w:r>
          <w:rPr>
            <w:rStyle w:val="Hyperlink"/>
          </w:rPr>
          <w:t xml:space="preserve">[35]</w:t>
        </w:r>
      </w:hyperlink>
      <w:r>
        <w:t xml:space="preserve">. Where vendors provide validation‑ready documentation (e.g., HiveMQ’s validation packages, Inductive Automation’s Part 11 guidance, HighByte’s DataOps documentation) incorporate this evidence into your assurance package and focus internal testing on custom configurations and high‑risk functions.</w:t>
      </w:r>
    </w:p>
    <w:bookmarkEnd w:id="61"/>
    <w:bookmarkStart w:id="62" w:name="X70c8f03bca32f6488ceae10fb2848998bf95984"/>
    <w:p>
      <w:pPr>
        <w:pStyle w:val="Heading3"/>
      </w:pPr>
      <w:r>
        <w:t xml:space="preserve">3 Installation and configuration verification</w:t>
      </w:r>
    </w:p>
    <w:p>
      <w:pPr>
        <w:pStyle w:val="FirstParagraph"/>
      </w:pPr>
      <w:r>
        <w:t xml:space="preserve">Confirm that HiveMQ, HighByte, Ignition, PI, event databases and data lake services are installed and configured according to vendor recommendations. Verify operating systems, hardware specifications, network segmentation, user accounts, certificate chains and backup configurations. Document the environment and maintain version control of infrastructure‑as‑code scripts. For platform‑as‑a‑service or SaaS components, collect configuration snapshots and vendor attestations.</w:t>
      </w:r>
    </w:p>
    <w:bookmarkEnd w:id="62"/>
    <w:bookmarkStart w:id="64" w:name="X753e571e9b15e28565f9768fc5a3ef0fd3c7e7d"/>
    <w:p>
      <w:pPr>
        <w:pStyle w:val="Heading3"/>
      </w:pPr>
      <w:r>
        <w:t xml:space="preserve">4 Functional testing – risk‑based assurance activities</w:t>
      </w:r>
    </w:p>
    <w:p>
      <w:pPr>
        <w:pStyle w:val="FirstParagraph"/>
      </w:pPr>
      <w:r>
        <w:t xml:space="preserve">Determine the</w:t>
      </w:r>
      <w:r>
        <w:t xml:space="preserve"> </w:t>
      </w:r>
      <w:r>
        <w:rPr>
          <w:b/>
          <w:bCs/>
        </w:rPr>
        <w:t xml:space="preserve">type of testing</w:t>
      </w:r>
      <w:r>
        <w:t xml:space="preserve"> </w:t>
      </w:r>
      <w:r>
        <w:t xml:space="preserve">for each function based on its risk:</w:t>
      </w:r>
    </w:p>
    <w:p>
      <w:pPr>
        <w:pStyle w:val="Compact"/>
        <w:numPr>
          <w:ilvl w:val="0"/>
          <w:numId w:val="1007"/>
        </w:numPr>
      </w:pPr>
      <w:r>
        <w:rPr>
          <w:b/>
          <w:bCs/>
        </w:rPr>
        <w:t xml:space="preserve">Unscripted testing</w:t>
      </w:r>
      <w:r>
        <w:t xml:space="preserve"> </w:t>
      </w:r>
      <w:r>
        <w:t xml:space="preserve">– The tester acts without prescribed steps, using their expertise to explore software behaviour. Methods include</w:t>
      </w:r>
      <w:r>
        <w:t xml:space="preserve"> </w:t>
      </w:r>
      <w:r>
        <w:rPr>
          <w:b/>
          <w:bCs/>
        </w:rPr>
        <w:t xml:space="preserve">scenario (ad‑hoc) testing</w:t>
      </w:r>
      <w:r>
        <w:t xml:space="preserve">,</w:t>
      </w:r>
      <w:r>
        <w:t xml:space="preserve"> </w:t>
      </w:r>
      <w:r>
        <w:rPr>
          <w:b/>
          <w:bCs/>
        </w:rPr>
        <w:t xml:space="preserve">error‑guessing</w:t>
      </w:r>
      <w:r>
        <w:t xml:space="preserve"> </w:t>
      </w:r>
      <w:r>
        <w:t xml:space="preserve">and</w:t>
      </w:r>
      <w:r>
        <w:t xml:space="preserve"> </w:t>
      </w:r>
      <w:r>
        <w:rPr>
          <w:b/>
          <w:bCs/>
        </w:rPr>
        <w:t xml:space="preserve">exploratory testing</w:t>
      </w:r>
      <w:hyperlink r:id="rId56">
        <w:r>
          <w:rPr>
            <w:rStyle w:val="Hyperlink"/>
          </w:rPr>
          <w:t xml:space="preserve">[32]</w:t>
        </w:r>
      </w:hyperlink>
      <w:r>
        <w:t xml:space="preserve">. Unscripted tests are particularly useful for uncovering unexpected behaviours and may be adequate for</w:t>
      </w:r>
      <w:r>
        <w:t xml:space="preserve"> </w:t>
      </w:r>
      <w:r>
        <w:rPr>
          <w:b/>
          <w:bCs/>
        </w:rPr>
        <w:t xml:space="preserve">not high process risk</w:t>
      </w:r>
      <w:r>
        <w:t xml:space="preserve"> </w:t>
      </w:r>
      <w:r>
        <w:t xml:space="preserve">features</w:t>
      </w:r>
      <w:hyperlink r:id="rId57">
        <w:r>
          <w:rPr>
            <w:rStyle w:val="Hyperlink"/>
          </w:rPr>
          <w:t xml:space="preserve">[33]</w:t>
        </w:r>
      </w:hyperlink>
      <w:r>
        <w:t xml:space="preserve">. Document a test charter describing the objective, scope and success criteria; capture notes, screen recordings and logs to provide evidence.</w:t>
      </w:r>
    </w:p>
    <w:p>
      <w:pPr>
        <w:pStyle w:val="Compact"/>
        <w:numPr>
          <w:ilvl w:val="0"/>
          <w:numId w:val="1007"/>
        </w:numPr>
      </w:pPr>
      <w:r>
        <w:rPr>
          <w:b/>
          <w:bCs/>
        </w:rPr>
        <w:t xml:space="preserve">Scripted testing</w:t>
      </w:r>
      <w:r>
        <w:t xml:space="preserve"> </w:t>
      </w:r>
      <w:r>
        <w:t xml:space="preserve">– Pre‑defined test cases executed manually or via automation. Use scripted tests for high‑risk functions where repeatability, traceability and auditability are critical</w:t>
      </w:r>
      <w:hyperlink r:id="rId63">
        <w:r>
          <w:rPr>
            <w:rStyle w:val="Hyperlink"/>
          </w:rPr>
          <w:t xml:space="preserve">[36]</w:t>
        </w:r>
      </w:hyperlink>
      <w:r>
        <w:t xml:space="preserve">. Scripts should trace to requirements and include expected results, acceptance criteria and evidence capture (screenshots, logs).</w:t>
      </w:r>
    </w:p>
    <w:p>
      <w:pPr>
        <w:pStyle w:val="Compact"/>
        <w:numPr>
          <w:ilvl w:val="0"/>
          <w:numId w:val="1007"/>
        </w:numPr>
      </w:pPr>
      <w:r>
        <w:rPr>
          <w:b/>
          <w:bCs/>
        </w:rPr>
        <w:t xml:space="preserve">Hybrid or automated testing</w:t>
      </w:r>
      <w:r>
        <w:t xml:space="preserve"> </w:t>
      </w:r>
      <w:r>
        <w:t xml:space="preserve">– Combine unscripted and scripted approaches as appropriate. For example, use exploratory testing to identify scenarios, then develop automated scripts for regression. Automation is valuable for repetitive checks, load tests and cybersecurity scans.</w:t>
      </w:r>
    </w:p>
    <w:p>
      <w:pPr>
        <w:pStyle w:val="FirstParagraph"/>
      </w:pPr>
      <w:r>
        <w:t xml:space="preserve">Functional testing should cover:</w:t>
      </w:r>
    </w:p>
    <w:p>
      <w:pPr>
        <w:pStyle w:val="Compact"/>
        <w:numPr>
          <w:ilvl w:val="0"/>
          <w:numId w:val="1008"/>
        </w:numPr>
      </w:pPr>
      <w:r>
        <w:rPr>
          <w:b/>
          <w:bCs/>
        </w:rPr>
        <w:t xml:space="preserve">MQTT broker</w:t>
      </w:r>
      <w:r>
        <w:t xml:space="preserve"> </w:t>
      </w:r>
      <w:r>
        <w:t xml:space="preserve">– verify QoS levels, persistent sessions, clustering and failover; test ACLs and certificate revocation; perform load tests to measure throughput and latency.</w:t>
      </w:r>
    </w:p>
    <w:p>
      <w:pPr>
        <w:pStyle w:val="Compact"/>
        <w:numPr>
          <w:ilvl w:val="0"/>
          <w:numId w:val="1008"/>
        </w:numPr>
      </w:pPr>
      <w:r>
        <w:rPr>
          <w:b/>
          <w:bCs/>
        </w:rPr>
        <w:t xml:space="preserve">HighByte hub</w:t>
      </w:r>
      <w:r>
        <w:t xml:space="preserve"> </w:t>
      </w:r>
      <w:r>
        <w:t xml:space="preserve">– verify connectivity to DeltaV and PI; validate data models and transformations; test flow switching and store‑and‑forward; perform error‑guessing by injecting corrupt data or network interruptions.</w:t>
      </w:r>
    </w:p>
    <w:p>
      <w:pPr>
        <w:pStyle w:val="Compact"/>
        <w:numPr>
          <w:ilvl w:val="0"/>
          <w:numId w:val="1008"/>
        </w:numPr>
      </w:pPr>
      <w:r>
        <w:rPr>
          <w:b/>
          <w:bCs/>
        </w:rPr>
        <w:t xml:space="preserve">Ignition SCADA</w:t>
      </w:r>
      <w:r>
        <w:t xml:space="preserve"> </w:t>
      </w:r>
      <w:r>
        <w:t xml:space="preserve">– test user authentication/authorization (including multi‑factor), audit log generation, electronic signatures and alarm handling. Use scenario testing to simulate operator workflows and confirm proper sequencing and error handling.</w:t>
      </w:r>
    </w:p>
    <w:p>
      <w:pPr>
        <w:pStyle w:val="Compact"/>
        <w:numPr>
          <w:ilvl w:val="0"/>
          <w:numId w:val="1008"/>
        </w:numPr>
      </w:pPr>
      <w:r>
        <w:rPr>
          <w:b/>
          <w:bCs/>
        </w:rPr>
        <w:t xml:space="preserve">AVEVA PI</w:t>
      </w:r>
      <w:r>
        <w:t xml:space="preserve"> </w:t>
      </w:r>
      <w:r>
        <w:t xml:space="preserve">– verify tag scanning, compression settings and event frame creation; cross‑check data accuracy with DeltaV values; perform exploratory queries to detect anomalies.</w:t>
      </w:r>
    </w:p>
    <w:p>
      <w:pPr>
        <w:pStyle w:val="Compact"/>
        <w:numPr>
          <w:ilvl w:val="0"/>
          <w:numId w:val="1008"/>
        </w:numPr>
      </w:pPr>
      <w:r>
        <w:rPr>
          <w:b/>
          <w:bCs/>
        </w:rPr>
        <w:t xml:space="preserve">Event DB and data lake pipelines</w:t>
      </w:r>
      <w:r>
        <w:t xml:space="preserve"> </w:t>
      </w:r>
      <w:r>
        <w:t xml:space="preserve">– test transaction integrity, triggers and audit logs; perform ad‑hoc queries to ensure correct context and sequence numbers; validate ETL pipelines, checksums, timestamp conversions and digital thread traceability.</w:t>
      </w:r>
    </w:p>
    <w:bookmarkEnd w:id="64"/>
    <w:bookmarkStart w:id="65" w:name="performance-and-stress-testing"/>
    <w:p>
      <w:pPr>
        <w:pStyle w:val="Heading3"/>
      </w:pPr>
      <w:r>
        <w:t xml:space="preserve">5 Performance and stress testing</w:t>
      </w:r>
    </w:p>
    <w:p>
      <w:pPr>
        <w:pStyle w:val="FirstParagraph"/>
      </w:pPr>
      <w:r>
        <w:t xml:space="preserve">Simulate end‑to‑end workflows under production‑like conditions. Run a representative batch or production cycle; measure latency through HighByte, HiveMQ, Ignition, PI and data lake. Inject failure scenarios (broker node outage, network loss, interface restart) and verify that the system recovers gracefully with no data loss or sequence gaps. Use automated scripts or chaos engineering tools to perform repeated runs and capture metrics.</w:t>
      </w:r>
    </w:p>
    <w:bookmarkEnd w:id="65"/>
    <w:bookmarkStart w:id="66" w:name="evidence-capture-and-documentation"/>
    <w:p>
      <w:pPr>
        <w:pStyle w:val="Heading3"/>
      </w:pPr>
      <w:r>
        <w:t xml:space="preserve">6 Evidence capture and documentation</w:t>
      </w:r>
    </w:p>
    <w:p>
      <w:pPr>
        <w:pStyle w:val="FirstParagraph"/>
      </w:pPr>
      <w:r>
        <w:t xml:space="preserve">For each test session, collect objective evidence. For scripted tests, record test case IDs, inputs, expected and actual results, and any deviations. For unscripted tests, document the test charter, tester notes, observed behaviours and issues found. Retain logs, screenshots and system records. The level of detail should be commensurate with the risk: high‑risk functions require more detailed evidence; low‑risk functions may only need a summary.</w:t>
      </w:r>
    </w:p>
    <w:bookmarkEnd w:id="66"/>
    <w:bookmarkStart w:id="69" w:name="change-control-and-continuous-assurance"/>
    <w:p>
      <w:pPr>
        <w:pStyle w:val="Heading3"/>
      </w:pPr>
      <w:r>
        <w:t xml:space="preserve">7 Change control and continuous assurance</w:t>
      </w:r>
    </w:p>
    <w:p>
      <w:pPr>
        <w:pStyle w:val="FirstParagraph"/>
      </w:pPr>
      <w:r>
        <w:t xml:space="preserve">Establish change control procedures for adding new tags, modifying data models or updating software versions. Each change should undergo impact assessment and appropriate testing (unscripted or scripted) before deployment. Implement continuous monitoring of system performance and data quality; leverage HighByte and HiveMQ metrics, PI interface watchdogs and data lake quality dashboards to detect anomalies</w:t>
      </w:r>
      <w:hyperlink r:id="rId67">
        <w:r>
          <w:rPr>
            <w:rStyle w:val="Hyperlink"/>
          </w:rPr>
          <w:t xml:space="preserve">[37]</w:t>
        </w:r>
      </w:hyperlink>
      <w:r>
        <w:t xml:space="preserve">. Perform periodic reviews of access logs, configuration drift and supplier updates. Continuous assurance complements traditional testing by detecting issues post‑deployment and reducing the need for exhaustive pre‑release testing on low‑risk functions</w:t>
      </w:r>
      <w:hyperlink r:id="rId68">
        <w:r>
          <w:rPr>
            <w:rStyle w:val="Hyperlink"/>
          </w:rPr>
          <w:t xml:space="preserve">[38]</w:t>
        </w:r>
      </w:hyperlink>
      <w:r>
        <w:t xml:space="preserve">.</w:t>
      </w:r>
    </w:p>
    <w:bookmarkEnd w:id="69"/>
    <w:bookmarkEnd w:id="70"/>
    <w:bookmarkStart w:id="72" w:name="integration-steps-and-optionality"/>
    <w:p>
      <w:pPr>
        <w:pStyle w:val="Heading2"/>
      </w:pPr>
      <w:r>
        <w:t xml:space="preserve">Integration steps and optionality</w:t>
      </w:r>
    </w:p>
    <w:p>
      <w:pPr>
        <w:pStyle w:val="Compact"/>
        <w:numPr>
          <w:ilvl w:val="0"/>
          <w:numId w:val="1009"/>
        </w:numPr>
      </w:pPr>
      <w:r>
        <w:rPr>
          <w:b/>
          <w:bCs/>
        </w:rPr>
        <w:t xml:space="preserve">Select integration patterns</w:t>
      </w:r>
      <w:r>
        <w:t xml:space="preserve">:</w:t>
      </w:r>
    </w:p>
    <w:p>
      <w:pPr>
        <w:pStyle w:val="Compact"/>
        <w:numPr>
          <w:ilvl w:val="0"/>
          <w:numId w:val="1009"/>
        </w:numPr>
      </w:pPr>
      <w:r>
        <w:rPr>
          <w:b/>
          <w:bCs/>
        </w:rPr>
        <w:t xml:space="preserve">Direct MQTT streaming</w:t>
      </w:r>
      <w:r>
        <w:t xml:space="preserve"> </w:t>
      </w:r>
      <w:r>
        <w:t xml:space="preserve">– For simple cases, DeltaV data can be published directly to MQTT via an OPC UA client running on an Ignition Edge gateway or HighByte. Use when latency is critical and minimal transformation is needed.</w:t>
      </w:r>
    </w:p>
    <w:p>
      <w:pPr>
        <w:pStyle w:val="Compact"/>
        <w:numPr>
          <w:ilvl w:val="0"/>
          <w:numId w:val="1009"/>
        </w:numPr>
      </w:pPr>
      <w:r>
        <w:rPr>
          <w:b/>
          <w:bCs/>
        </w:rPr>
        <w:t xml:space="preserve">DataOps‑mediated</w:t>
      </w:r>
      <w:r>
        <w:t xml:space="preserve"> </w:t>
      </w:r>
      <w:r>
        <w:t xml:space="preserve">– For complex contextualisation, use HighByte to model and transform data before publishing to MQTT and PI. This pattern is recommended for large installations with many systems and the need for standardisation.</w:t>
      </w:r>
    </w:p>
    <w:p>
      <w:pPr>
        <w:pStyle w:val="Compact"/>
        <w:numPr>
          <w:ilvl w:val="0"/>
          <w:numId w:val="1009"/>
        </w:numPr>
      </w:pPr>
      <w:r>
        <w:rPr>
          <w:b/>
          <w:bCs/>
        </w:rPr>
        <w:t xml:space="preserve">Hybrid historian</w:t>
      </w:r>
      <w:r>
        <w:t xml:space="preserve"> </w:t>
      </w:r>
      <w:r>
        <w:t xml:space="preserve">– Some organisations may continue to use the DeltaV Continuous Historian for short‑term high‑resolution storage while sending a subset of data to PI. Evaluate performance and duplication; avoid conflicting sources of truth.</w:t>
      </w:r>
    </w:p>
    <w:p>
      <w:pPr>
        <w:pStyle w:val="Compact"/>
        <w:numPr>
          <w:ilvl w:val="0"/>
          <w:numId w:val="1009"/>
        </w:numPr>
      </w:pPr>
      <w:r>
        <w:rPr>
          <w:b/>
          <w:bCs/>
        </w:rPr>
        <w:t xml:space="preserve">Event DB optionality</w:t>
      </w:r>
      <w:r>
        <w:t xml:space="preserve"> </w:t>
      </w:r>
      <w:r>
        <w:t xml:space="preserve">– If PI event frames suffice for capturing batch events, a separate event DB may be unnecessary. However, a dedicated event DB is useful for storing manufacturing instructions, manual steps and exceptions not captured in PI; choose based on complexity and reporting requirements.</w:t>
      </w:r>
    </w:p>
    <w:p>
      <w:pPr>
        <w:numPr>
          <w:ilvl w:val="0"/>
          <w:numId w:val="1009"/>
        </w:numPr>
      </w:pPr>
      <w:r>
        <w:rPr>
          <w:b/>
          <w:bCs/>
        </w:rPr>
        <w:t xml:space="preserve">Cloud vs on‑premise</w:t>
      </w:r>
      <w:r>
        <w:t xml:space="preserve"> </w:t>
      </w:r>
      <w:r>
        <w:t xml:space="preserve">– HiveMQ, HighByte and PI can run on‑premise, in the plant DMZ, or in the cloud. For GxP, on‑premise or private cloud is typical; however, many organisations adopt hybrid architectures. If cloud is used, ensure connectivity is via private links and that cloud services are assessed for Part 11 compliance. Refer to CSP GxP guidance</w:t>
      </w:r>
      <w:hyperlink r:id="rId71">
        <w:r>
          <w:rPr>
            <w:rStyle w:val="Hyperlink"/>
          </w:rPr>
          <w:t xml:space="preserve">[39]</w:t>
        </w:r>
      </w:hyperlink>
      <w:r>
        <w:t xml:space="preserve">.</w:t>
      </w:r>
    </w:p>
    <w:p>
      <w:pPr>
        <w:numPr>
          <w:ilvl w:val="0"/>
          <w:numId w:val="1009"/>
        </w:numPr>
      </w:pPr>
      <w:r>
        <w:rPr>
          <w:b/>
          <w:bCs/>
        </w:rPr>
        <w:t xml:space="preserve">Implementation phases</w:t>
      </w:r>
      <w:r>
        <w:t xml:space="preserve">:</w:t>
      </w:r>
    </w:p>
    <w:p>
      <w:pPr>
        <w:pStyle w:val="Compact"/>
        <w:numPr>
          <w:ilvl w:val="0"/>
          <w:numId w:val="1009"/>
        </w:numPr>
      </w:pPr>
      <w:r>
        <w:rPr>
          <w:b/>
          <w:bCs/>
        </w:rPr>
        <w:t xml:space="preserve">Phase 1 – Proof of concept</w:t>
      </w:r>
      <w:r>
        <w:t xml:space="preserve">: Select one line or equipment module. Build models, configure HiveMQ and HighByte, integrate with Ignition and PI. Validate data flow and compliance. Identify configuration templates and standard operating procedures (SOPs).</w:t>
      </w:r>
    </w:p>
    <w:p>
      <w:pPr>
        <w:pStyle w:val="Compact"/>
        <w:numPr>
          <w:ilvl w:val="0"/>
          <w:numId w:val="1009"/>
        </w:numPr>
      </w:pPr>
      <w:r>
        <w:rPr>
          <w:b/>
          <w:bCs/>
        </w:rPr>
        <w:t xml:space="preserve">Phase 2 – Scale out</w:t>
      </w:r>
      <w:r>
        <w:t xml:space="preserve">: Extend to the entire manufacturing area; onboard additional equipment; refine data models; implement event DB; build curated data products. Establish centralized governance and metadata catalogue. Deploy HiveMQ clustering and HighByte replication.</w:t>
      </w:r>
    </w:p>
    <w:p>
      <w:pPr>
        <w:pStyle w:val="Compact"/>
        <w:numPr>
          <w:ilvl w:val="0"/>
          <w:numId w:val="1009"/>
        </w:numPr>
      </w:pPr>
      <w:r>
        <w:rPr>
          <w:b/>
          <w:bCs/>
        </w:rPr>
        <w:t xml:space="preserve">Phase 3 – Enterprise integration</w:t>
      </w:r>
      <w:r>
        <w:t xml:space="preserve">: Connect MES, LIMS, QMS and ERP; extend UNS to enterprise level; ingest data into data lake; deploy analytics (CPV, PQR). Validate AI/ML models and advanced analytics; integrate with digital twin or predictive maintenance platforms.</w:t>
      </w:r>
    </w:p>
    <w:bookmarkEnd w:id="72"/>
    <w:bookmarkStart w:id="74" w:name="operational-considerations"/>
    <w:p>
      <w:pPr>
        <w:pStyle w:val="Heading2"/>
      </w:pPr>
      <w:r>
        <w:t xml:space="preserve">Operational considerations</w:t>
      </w:r>
    </w:p>
    <w:p>
      <w:pPr>
        <w:pStyle w:val="Compact"/>
        <w:numPr>
          <w:ilvl w:val="0"/>
          <w:numId w:val="1010"/>
        </w:numPr>
      </w:pPr>
      <w:r>
        <w:rPr>
          <w:b/>
          <w:bCs/>
        </w:rPr>
        <w:t xml:space="preserve">Monitoring and observability</w:t>
      </w:r>
      <w:r>
        <w:t xml:space="preserve"> </w:t>
      </w:r>
      <w:r>
        <w:t xml:space="preserve">– Use built‑in metrics and logs from HiveMQ (Prometheus, Grafana) to monitor broker health</w:t>
      </w:r>
      <w:hyperlink r:id="rId73">
        <w:r>
          <w:rPr>
            <w:rStyle w:val="Hyperlink"/>
          </w:rPr>
          <w:t xml:space="preserve">[40]</w:t>
        </w:r>
      </w:hyperlink>
      <w:r>
        <w:t xml:space="preserve">. Monitor HighByte flows, queue sizes and error logs. Configure PI watchdogs for interface status. Implement alerting for message backlog, dropped messages or latency. For the data lake, monitor pipeline failures and data quality metrics.</w:t>
      </w:r>
    </w:p>
    <w:p>
      <w:pPr>
        <w:pStyle w:val="Compact"/>
        <w:numPr>
          <w:ilvl w:val="0"/>
          <w:numId w:val="1010"/>
        </w:numPr>
      </w:pPr>
      <w:r>
        <w:rPr>
          <w:b/>
          <w:bCs/>
        </w:rPr>
        <w:t xml:space="preserve">Backup and disaster recovery</w:t>
      </w:r>
      <w:r>
        <w:t xml:space="preserve"> </w:t>
      </w:r>
      <w:r>
        <w:t xml:space="preserve">– Ensure that HiveMQ persistent data, PI archives, event DB and data lake metadata are backed up regularly. Test restoration procedures. Use HighByte store‑and‑forward buffers and PI interface buffering to survive network outages.</w:t>
      </w:r>
    </w:p>
    <w:p>
      <w:pPr>
        <w:pStyle w:val="Compact"/>
        <w:numPr>
          <w:ilvl w:val="0"/>
          <w:numId w:val="1010"/>
        </w:numPr>
      </w:pPr>
      <w:r>
        <w:rPr>
          <w:b/>
          <w:bCs/>
        </w:rPr>
        <w:t xml:space="preserve">Training and change management</w:t>
      </w:r>
      <w:r>
        <w:t xml:space="preserve"> </w:t>
      </w:r>
      <w:r>
        <w:t xml:space="preserve">– Train operators, engineers, QA and IT/OT staff on the unified namespace, MQTT topics, SCADA functions and data governance. Provide SOPs for adding new equipment, modifying models and responding to alarms.</w:t>
      </w:r>
    </w:p>
    <w:p>
      <w:pPr>
        <w:pStyle w:val="Compact"/>
        <w:numPr>
          <w:ilvl w:val="0"/>
          <w:numId w:val="1010"/>
        </w:numPr>
      </w:pPr>
      <w:r>
        <w:rPr>
          <w:b/>
          <w:bCs/>
        </w:rPr>
        <w:t xml:space="preserve">Cybersecurity</w:t>
      </w:r>
      <w:r>
        <w:t xml:space="preserve"> </w:t>
      </w:r>
      <w:r>
        <w:t xml:space="preserve">– Implement defence‑in‑depth: network segmentation (Purdue levels), firewalls, intrusion detection, vulnerability management and patching. Follow security frameworks like IEC 62443 and NIST. Use multi‑factor authentication, encryption and access monitoring as recommended by Ignition’s security hardening guide</w:t>
      </w:r>
      <w:hyperlink r:id="rId38">
        <w:r>
          <w:rPr>
            <w:rStyle w:val="Hyperlink"/>
          </w:rPr>
          <w:t xml:space="preserve">[17]</w:t>
        </w:r>
      </w:hyperlink>
      <w:r>
        <w:t xml:space="preserve">.</w:t>
      </w:r>
    </w:p>
    <w:p>
      <w:pPr>
        <w:pStyle w:val="Compact"/>
        <w:numPr>
          <w:ilvl w:val="0"/>
          <w:numId w:val="1010"/>
        </w:numPr>
      </w:pPr>
      <w:r>
        <w:rPr>
          <w:b/>
          <w:bCs/>
        </w:rPr>
        <w:t xml:space="preserve">Data retention and archiving</w:t>
      </w:r>
      <w:r>
        <w:t xml:space="preserve"> </w:t>
      </w:r>
      <w:r>
        <w:t xml:space="preserve">– Define retention periods for PI archives, event logs and data lake zones according to regulatory requirements. For example, retain batch records and associated data for at least one product‑life cycle plus one year; implement tiered storage (hot, warm, cold) to balance cost and access.</w:t>
      </w:r>
    </w:p>
    <w:bookmarkEnd w:id="74"/>
    <w:bookmarkStart w:id="76" w:name="conclusion"/>
    <w:p>
      <w:pPr>
        <w:pStyle w:val="Heading2"/>
      </w:pPr>
      <w:r>
        <w:t xml:space="preserve">Conclusion</w:t>
      </w:r>
    </w:p>
    <w:p>
      <w:pPr>
        <w:pStyle w:val="FirstParagraph"/>
      </w:pPr>
      <w:r>
        <w:t xml:space="preserve">Integrating a DeltaV‑controlled manufacturing area into a modern digital‑plant architecture requires careful attention to data integrity, deterministic behaviour, security and governance. Using an event‑driven architecture built on MQTT and a unified namespace simplifies connectivity across OT and IT systems, but it must be designed and configured for compliance. HighByte’s Industrial DataOps platform provides the modelling, transformation and flow control necessary to contextualise DeltaV data, while HiveMQ offers enterprise‑grade MQTT capabilities with deterministic delivery and validation support</w:t>
      </w:r>
      <w:hyperlink r:id="rId75">
        <w:r>
          <w:rPr>
            <w:rStyle w:val="Hyperlink"/>
          </w:rPr>
          <w:t xml:space="preserve">[41]</w:t>
        </w:r>
      </w:hyperlink>
      <w:r>
        <w:t xml:space="preserve">. Ignition SCADA serves as the human interface and audit mechanism when configured with external identity management and secure practices</w:t>
      </w:r>
      <w:hyperlink r:id="rId29">
        <w:r>
          <w:rPr>
            <w:rStyle w:val="Hyperlink"/>
          </w:rPr>
          <w:t xml:space="preserve">[8]</w:t>
        </w:r>
      </w:hyperlink>
      <w:r>
        <w:t xml:space="preserve">. AVEVA PI and event databases capture time‑series and event data for long‑term retention and analysis, and the enterprise data lake provides a governed analytical layer</w:t>
      </w:r>
      <w:hyperlink r:id="rId31">
        <w:r>
          <w:rPr>
            <w:rStyle w:val="Hyperlink"/>
          </w:rPr>
          <w:t xml:space="preserve">[11]</w:t>
        </w:r>
      </w:hyperlink>
      <w:r>
        <w:t xml:space="preserve">. By following the design, development, verification and governance practices outlined in this playbook, organisations can achieve real‑time visibility and advanced analytics while maintaining compliance with GxP regulations in the US, EU, UK, Canada and Japan.</w:t>
      </w:r>
    </w:p>
    <w:bookmarkEnd w:id="76"/>
    <w:bookmarkEnd w:id="77"/>
    <w:bookmarkEnd w:id="78"/>
    <w:p>
      <w:r>
        <w:pict>
          <v:rect style="width:0;height:1.5pt" o:hralign="center" o:hrstd="t" o:hr="t"/>
        </w:pict>
      </w:r>
    </w:p>
    <w:bookmarkStart w:id="81"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71">
        <w:r>
          <w:rPr>
            <w:rStyle w:val="Hyperlink"/>
          </w:rPr>
          <w:t xml:space="preserve">[39]</w:t>
        </w:r>
      </w:hyperlink>
      <w:r>
        <w:t xml:space="preserve"> </w:t>
      </w:r>
      <w:r>
        <w:t xml:space="preserve">21 CFR Part 11 and Pharmaceutical Best Practices with Ignition</w:t>
      </w:r>
    </w:p>
    <w:p>
      <w:pPr>
        <w:pStyle w:val="BodyText"/>
      </w:pPr>
      <w:hyperlink r:id="rId71">
        <w:r>
          <w:rPr>
            <w:rStyle w:val="Hyperlink"/>
          </w:rPr>
          <w:t xml:space="preserve">https://assets.inductiveautomation.com/s3fs-production/test_folder/21%20CFR%20Part%2011%20and%20Pharmaceutical%20Best%20Practices%20with%20Ignition_3.pdf</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73">
        <w:r>
          <w:rPr>
            <w:rStyle w:val="Hyperlink"/>
          </w:rPr>
          <w:t xml:space="preserve">[40]</w:t>
        </w:r>
      </w:hyperlink>
      <w:r>
        <w:t xml:space="preserve"> </w:t>
      </w:r>
      <w:hyperlink r:id="rId75">
        <w:r>
          <w:rPr>
            <w:rStyle w:val="Hyperlink"/>
          </w:rPr>
          <w:t xml:space="preserve">[41]</w:t>
        </w:r>
      </w:hyperlink>
      <w:r>
        <w:t xml:space="preserve"> </w:t>
      </w:r>
      <w:r>
        <w:t xml:space="preserve">Building a Compliant Event-Driven Architecture in Pharma with MQTT and HiveMQ</w:t>
      </w:r>
    </w:p>
    <w:p>
      <w:pPr>
        <w:pStyle w:val="BodyText"/>
      </w:pPr>
      <w:hyperlink r:id="rId79">
        <w:r>
          <w:rPr>
            <w:rStyle w:val="Hyperlink"/>
          </w:rPr>
          <w:t xml:space="preserve">https://www.hivemq.com/blog/building-compliant-event-driven-architecture-pharma-mqtt-hivemq/</w:t>
        </w:r>
      </w:hyperlink>
    </w:p>
    <w:p>
      <w:pPr>
        <w:pStyle w:val="BodyText"/>
      </w:pPr>
      <w:hyperlink r:id="rId31">
        <w:r>
          <w:rPr>
            <w:rStyle w:val="Hyperlink"/>
          </w:rPr>
          <w:t xml:space="preserve">[10]</w:t>
        </w:r>
      </w:hyperlink>
      <w:r>
        <w:t xml:space="preserve"> </w:t>
      </w:r>
      <w:hyperlink r:id="rId31">
        <w:r>
          <w:rPr>
            <w:rStyle w:val="Hyperlink"/>
          </w:rPr>
          <w:t xml:space="preserve">[11]</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31">
        <w:r>
          <w:rPr>
            <w:rStyle w:val="Hyperlink"/>
          </w:rPr>
          <w:t xml:space="preserve">[22]</w:t>
        </w:r>
      </w:hyperlink>
      <w:r>
        <w:t xml:space="preserve"> </w:t>
      </w:r>
      <w:hyperlink r:id="rId41">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r>
        <w:t xml:space="preserve">GxP Data Lake – Analytics Platform for Regulated Manufacturing Data</w:t>
      </w:r>
    </w:p>
    <w:p>
      <w:pPr>
        <w:pStyle w:val="BodyText"/>
      </w:pPr>
      <w:hyperlink r:id="rId80">
        <w:r>
          <w:rPr>
            <w:rStyle w:val="Hyperlink"/>
          </w:rPr>
          <w:t xml:space="preserve">https://sgsystemsglobal.com/glossary/gxp-data-lake-and-analytics-platform/</w:t>
        </w:r>
      </w:hyperlink>
    </w:p>
    <w:p>
      <w:pPr>
        <w:pStyle w:val="BodyText"/>
      </w:pPr>
      <w:hyperlink r:id="rId36">
        <w:r>
          <w:rPr>
            <w:rStyle w:val="Hyperlink"/>
          </w:rPr>
          <w:t xml:space="preserve">[15]</w:t>
        </w:r>
      </w:hyperlink>
      <w:r>
        <w:t xml:space="preserve"> </w:t>
      </w:r>
      <w:hyperlink r:id="rId44">
        <w:r>
          <w:rPr>
            <w:rStyle w:val="Hyperlink"/>
          </w:rPr>
          <w:t xml:space="preserve">[23]</w:t>
        </w:r>
      </w:hyperlink>
      <w:r>
        <w:t xml:space="preserve"> </w:t>
      </w:r>
      <w:hyperlink r:id="rId36">
        <w:r>
          <w:rPr>
            <w:rStyle w:val="Hyperlink"/>
          </w:rPr>
          <w:t xml:space="preserve">[24]</w:t>
        </w:r>
      </w:hyperlink>
      <w:r>
        <w:t xml:space="preserve"> </w:t>
      </w:r>
      <w:hyperlink r:id="rId36">
        <w:r>
          <w:rPr>
            <w:rStyle w:val="Hyperlink"/>
          </w:rPr>
          <w:t xml:space="preserve">[25]</w:t>
        </w:r>
      </w:hyperlink>
      <w:r>
        <w:t xml:space="preserve"> </w:t>
      </w:r>
      <w:hyperlink r:id="rId45">
        <w:r>
          <w:rPr>
            <w:rStyle w:val="Hyperlink"/>
          </w:rPr>
          <w:t xml:space="preserve">[26]</w:t>
        </w:r>
      </w:hyperlink>
      <w:r>
        <w:t xml:space="preserve"> </w:t>
      </w:r>
      <w:r>
        <w:t xml:space="preserve">HighByte-DataOps-The-Missing-Link-In-Your-Industrial-Data-Architecture-Second-Edition</w:t>
      </w:r>
    </w:p>
    <w:p>
      <w:pPr>
        <w:pStyle w:val="BodyText"/>
      </w:pPr>
      <w:hyperlink r:id="rId36">
        <w:r>
          <w:rPr>
            <w:rStyle w:val="Hyperlink"/>
          </w:rPr>
          <w:t xml:space="preserve">https://info.highbyte.com/hubfs/HighByte-WP-DataOps-The-Missing-Link-in-Your-Industrial-Data-Architecture-september-2021.pdf</w:t>
        </w:r>
      </w:hyperlink>
    </w:p>
    <w:p>
      <w:pPr>
        <w:pStyle w:val="BodyText"/>
      </w:pP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60">
        <w:r>
          <w:rPr>
            <w:rStyle w:val="Hyperlink"/>
          </w:rPr>
          <w:t xml:space="preserve">[35]</w:t>
        </w:r>
      </w:hyperlink>
      <w:r>
        <w:t xml:space="preserve"> </w:t>
      </w:r>
      <w:hyperlink r:id="rId63">
        <w:r>
          <w:rPr>
            <w:rStyle w:val="Hyperlink"/>
          </w:rPr>
          <w:t xml:space="preserve">[36]</w:t>
        </w:r>
      </w:hyperlink>
      <w:r>
        <w:t xml:space="preserve"> </w:t>
      </w:r>
      <w:hyperlink r:id="rId67">
        <w:r>
          <w:rPr>
            <w:rStyle w:val="Hyperlink"/>
          </w:rPr>
          <w:t xml:space="preserve">[37]</w:t>
        </w:r>
      </w:hyperlink>
      <w:r>
        <w:t xml:space="preserve"> </w:t>
      </w:r>
      <w:hyperlink r:id="rId68">
        <w:r>
          <w:rPr>
            <w:rStyle w:val="Hyperlink"/>
          </w:rPr>
          <w:t xml:space="preserve">[38]</w:t>
        </w:r>
      </w:hyperlink>
      <w:r>
        <w:t xml:space="preserve"> </w:t>
      </w:r>
      <w:r>
        <w:t xml:space="preserve">Computer Software Assurance for Production and Quality Management System Software</w:t>
      </w:r>
    </w:p>
    <w:p>
      <w:pPr>
        <w:pStyle w:val="BodyText"/>
      </w:pPr>
      <w:hyperlink r:id="rId60">
        <w:r>
          <w:rPr>
            <w:rStyle w:val="Hyperlink"/>
          </w:rPr>
          <w:t xml:space="preserve">https://www.fda.gov/media/188844/download</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ssets.inductiveautomation.com/s3fs-production/test_folder/21%20CFR%20Part%2011%20and%20Pharmaceutical%20Best%20Practices%20with%20Ignition_3.pdf" TargetMode="External" /><Relationship Type="http://schemas.openxmlformats.org/officeDocument/2006/relationships/hyperlink" Id="rId47" Target="https://assets.inductiveautomation.com/s3fs-production/test_folder/21%20CFR%20Part%2011%20and%20Pharmaceutical%20Best%20Practices%20with%20Ignition_3.pdf#:~:text=2,Record%20and%20Electronic%20Signature%20requirements" TargetMode="External" /><Relationship Type="http://schemas.openxmlformats.org/officeDocument/2006/relationships/hyperlink" Id="rId22" Target="https://assets.inductiveautomation.com/s3fs-production/test_folder/21%20CFR%20Part%2011%20and%20Pharmaceutical%20Best%20Practices%20with%20Ignition_3.pdf#:~:text=ALCOA%2B%20Additional%20Information%3A%20%E2%80%9CData%20integrity,%E2%80%9Cavailable%2C%20enduring%2C%20consistent%2C%20and%20complete%E2%80%9D" TargetMode="External" /><Relationship Type="http://schemas.openxmlformats.org/officeDocument/2006/relationships/hyperlink" Id="rId30" Target="https://assets.inductiveautomation.com/s3fs-production/test_folder/21%20CFR%20Part%2011%20and%20Pharmaceutical%20Best%20Practices%20with%20Ignition_3.pdf#:~:text=Architecture,10%20of%2047" TargetMode="External" /><Relationship Type="http://schemas.openxmlformats.org/officeDocument/2006/relationships/hyperlink" Id="rId39" Target="https://assets.inductiveautomation.com/s3fs-production/test_folder/21%20CFR%20Part%2011%20and%20Pharmaceutical%20Best%20Practices%20with%20Ignition_3.pdf#:~:text=Extra%20consideration%20of%20database%20protections,forward%20cache.%20Additional%20mitigation%20is" TargetMode="External" /><Relationship Type="http://schemas.openxmlformats.org/officeDocument/2006/relationships/hyperlink" Id="rId46" Target="https://assets.inductiveautomation.com/s3fs-production/test_folder/21%20CFR%20Part%2011%20and%20Pharmaceutical%20Best%20Practices%20with%20Ignition_3.pdf#:~:text=Extra%20consideration%20of%20database%20protections,iii" TargetMode="External" /><Relationship Type="http://schemas.openxmlformats.org/officeDocument/2006/relationships/hyperlink" Id="rId38" Target="https://assets.inductiveautomation.com/s3fs-production/test_folder/21%20CFR%20Part%2011%20and%20Pharmaceutical%20Best%20Practices%20with%20Ignition_3.pdf#:~:text=Follow%20the%20Ignition%20Security%20Hardening,OpenID%20Connect%20for%20Identity%20Providers" TargetMode="External" /><Relationship Type="http://schemas.openxmlformats.org/officeDocument/2006/relationships/hyperlink" Id="rId29" Target="https://assets.inductiveautomation.com/s3fs-production/test_folder/21%20CFR%20Part%2011%20and%20Pharmaceutical%20Best%20Practices%20with%20Ignition_3.pdf#:~:text=Guide%20to%20assist%20with%20best,2" TargetMode="External" /><Relationship Type="http://schemas.openxmlformats.org/officeDocument/2006/relationships/hyperlink" Id="rId37" Target="https://assets.inductiveautomation.com/s3fs-production/test_folder/21%20CFR%20Part%2011%20and%20Pharmaceutical%20Best%20Practices%20with%20Ignition_3.pdf#:~:text=Guide%20to%20assist%20with%20best,Okta%2C%20Ping%2C%20offer%20powerful%20hybrids" TargetMode="External" /><Relationship Type="http://schemas.openxmlformats.org/officeDocument/2006/relationships/hyperlink" Id="rId24" Target="https://assets.inductiveautomation.com/s3fs-production/test_folder/21%20CFR%20Part%2011%20and%20Pharmaceutical%20Best%20Practices%20with%20Ignition_3.pdf#:~:text=This%20guide%20proposes%20that%20the,Operational%20and%206%20of%2047" TargetMode="External" /><Relationship Type="http://schemas.openxmlformats.org/officeDocument/2006/relationships/hyperlink" Id="rId23" Target="https://assets.inductiveautomation.com/s3fs-production/test_folder/21%20CFR%20Part%2011%20and%20Pharmaceutical%20Best%20Practices%20with%20Ignition_3.pdf#:~:text=Tip%3A%20GAMP%205%20%28section%2048,GAMP%205" TargetMode="External" /><Relationship Type="http://schemas.openxmlformats.org/officeDocument/2006/relationships/hyperlink" Id="rId36" Target="https://info.highbyte.com/hubfs/HighByte-WP-DataOps-The-Missing-Link-in-Your-Industrial-Data-Architecture-september-2021.pdf" TargetMode="External" /><Relationship Type="http://schemas.openxmlformats.org/officeDocument/2006/relationships/hyperlink" Id="rId44" Target="https://info.highbyte.com/hubfs/HighByte-WP-DataOps-The-Missing-Link-in-Your-Industrial-Data-Architecture-september-2021.pdf#:~:text=Codeless%20integration,raw%20data%20or%20modeled%20information" TargetMode="External" /><Relationship Type="http://schemas.openxmlformats.org/officeDocument/2006/relationships/hyperlink" Id="rId45" Target="https://info.highbyte.com/hubfs/HighByte-WP-DataOps-The-Missing-Link-in-Your-Industrial-Data-Architecture-september-2021.pdf#:~:text=Codeless%20integration,the%20volume%20of%20data%20transmissions" TargetMode="External" /><Relationship Type="http://schemas.openxmlformats.org/officeDocument/2006/relationships/hyperlink" Id="rId80" Target="https://sgsystemsglobal.com/glossary/gxp-data-lake-and-analytics-platform/" TargetMode="External" /><Relationship Type="http://schemas.openxmlformats.org/officeDocument/2006/relationships/hyperlink" Id="rId49" Target="https://sgsystemsglobal.com/glossary/gxp-data-lake-and-analytics-platform/#:~:text=10,Digital%20Twins" TargetMode="External" /><Relationship Type="http://schemas.openxmlformats.org/officeDocument/2006/relationships/hyperlink" Id="rId42" Target="https://sgsystemsglobal.com/glossary/gxp-data-lake-and-analytics-platform/#:~:text=7,Audit%20Trails" TargetMode="External" /><Relationship Type="http://schemas.openxmlformats.org/officeDocument/2006/relationships/hyperlink" Id="rId48" Target="https://sgsystemsglobal.com/glossary/gxp-data-lake-and-analytics-platform/#:~:text=8,Segregation%20of%20Duties" TargetMode="External" /><Relationship Type="http://schemas.openxmlformats.org/officeDocument/2006/relationships/hyperlink" Id="rId40" Target="https://sgsystemsglobal.com/glossary/gxp-data-lake-and-analytics-platform/#:~:text=Architecturally%2C%20this%20is%20often%20implemented,CPV%20report%20or%20regulatory%20submission" TargetMode="External" /><Relationship Type="http://schemas.openxmlformats.org/officeDocument/2006/relationships/hyperlink" Id="rId41" Target="https://sgsystemsglobal.com/glossary/gxp-data-lake-and-analytics-platform/#:~:text=Because%20the%20data%20lake%20stores,data%20and%20controlled%20documents%20underneath" TargetMode="External" /><Relationship Type="http://schemas.openxmlformats.org/officeDocument/2006/relationships/hyperlink" Id="rId31" Target="https://sgsystemsglobal.com/glossary/gxp-data-lake-and-analytics-platform/#:~:text=consistent%20set%20of%20trusted%20building,wants%20to%20own%20long%20term" TargetMode="External" /><Relationship Type="http://schemas.openxmlformats.org/officeDocument/2006/relationships/hyperlink" Id="rId60" Target="https://www.fda.gov/media/188844/download" TargetMode="External" /><Relationship Type="http://schemas.openxmlformats.org/officeDocument/2006/relationships/hyperlink" Id="rId63" Target="https://www.fda.gov/media/188844/download#:~:text=Scripted%20testing%3A%20Testing%20in%20which,traceability%2C%20or%20auditability%20may%20be" TargetMode="External" /><Relationship Type="http://schemas.openxmlformats.org/officeDocument/2006/relationships/hyperlink" Id="rId68" Target="https://www.fda.gov/media/188844/download#:~:text=The%20data%20and%20information%20periodically,of%20the%20quality%20management%20system" TargetMode="External" /><Relationship Type="http://schemas.openxmlformats.org/officeDocument/2006/relationships/hyperlink" Id="rId67" Target="https://www.fda.gov/media/188844/download#:~:text=The%20data%20and%20information%20periodically,when%20deciding%20on%20assurance%20activities" TargetMode="External" /><Relationship Type="http://schemas.openxmlformats.org/officeDocument/2006/relationships/hyperlink" Id="rId56" Target="https://www.fda.gov/media/188844/download#:~:text=Unscripted%20testing%3A%20Dynamic%20testing%20in,failures%20or%20general%20knowledge%20of" TargetMode="External" /><Relationship Type="http://schemas.openxmlformats.org/officeDocument/2006/relationships/hyperlink" Id="rId58" Target="https://www.fda.gov/media/188844/download#:~:text=consider%20whether%20there%20are%20any,Second%20Edition" TargetMode="External" /><Relationship Type="http://schemas.openxmlformats.org/officeDocument/2006/relationships/hyperlink" Id="rId57" Target="https://www.fda.gov/media/188844/download#:~:text=process%20risk%2C%20manufacturers%20may%20consider,risk%20features%2C%20functions%2C%20and%20operations" TargetMode="External" /><Relationship Type="http://schemas.openxmlformats.org/officeDocument/2006/relationships/hyperlink" Id="rId79" Target="https://www.hivemq.com/blog/building-compliant-event-driven-architecture-pharma-mqtt-hivemq/" TargetMode="External" /><Relationship Type="http://schemas.openxmlformats.org/officeDocument/2006/relationships/hyperlink" Id="rId25" Target="https://www.hivemq.com/blog/building-compliant-event-driven-architecture-pharma-mqtt-hivemq/#:~:text=Deterministic%20Behavior%20and%20Validation%20in,Critical%20Context" TargetMode="External" /><Relationship Type="http://schemas.openxmlformats.org/officeDocument/2006/relationships/hyperlink" Id="rId26" Target="https://www.hivemq.com/blog/building-compliant-event-driven-architecture-pharma-mqtt-hivemq/#:~:text=Distributed%20event%20systems%20often%20exhibit,the%20moment%20message%20order%20or" TargetMode="External" /><Relationship Type="http://schemas.openxmlformats.org/officeDocument/2006/relationships/hyperlink" Id="rId75" Target="https://www.hivemq.com/blog/building-compliant-event-driven-architecture-pharma-mqtt-hivemq/#:~:text=HiveMQ%20transforms%20MQTT%20from%20a,deterministic%20behavior%2C%20and%20full%20auditability" TargetMode="External" /><Relationship Type="http://schemas.openxmlformats.org/officeDocument/2006/relationships/hyperlink" Id="rId73" Target="https://www.hivemq.com/blog/building-compliant-event-driven-architecture-pharma-mqtt-hivemq/#:~:text=Observability%20and%20Auditability" TargetMode="External" /><Relationship Type="http://schemas.openxmlformats.org/officeDocument/2006/relationships/hyperlink" Id="rId28" Target="https://www.hivemq.com/blog/building-compliant-event-driven-architecture-pharma-mqtt-hivemq/#:~:text=Secure%20and%20Controlled%20Data%20Exchange,Across%20IT%2FOT%2FCloud%20Boundaries" TargetMode="External" /><Relationship Type="http://schemas.openxmlformats.org/officeDocument/2006/relationships/hyperlink" Id="rId35" Target="https://www.hivemq.com/blog/building-compliant-event-driven-architecture-pharma-mqtt-hivemq/#:~:text=Secure%20by%20Design" TargetMode="External" /><Relationship Type="http://schemas.openxmlformats.org/officeDocument/2006/relationships/hyperlink" Id="rId33" Target="https://www.hivemq.com/blog/building-compliant-event-driven-architecture-pharma-mqtt-hivemq/#:~:text=Some%20typical%20broker" TargetMode="External" /><Relationship Type="http://schemas.openxmlformats.org/officeDocument/2006/relationships/hyperlink" Id="rId34" Target="https://www.hivemq.com/blog/building-compliant-event-driven-architecture-pharma-mqtt-hivemq/#:~:text=True%20Clustering%20for%20Zero%20Downtime" TargetMode="External" /><Relationship Type="http://schemas.openxmlformats.org/officeDocument/2006/relationships/hyperlink" Id="rId27" Target="https://www.hivemq.com/blog/building-compliant-event-driven-architecture-pharma-mqtt-hivemq/#:~:text=across%20diverse%20systems" TargetMode="External" /></Relationships>
</file>

<file path=word/_rels/footnotes.xml.rels><?xml version="1.0" encoding="UTF-8"?><Relationships xmlns="http://schemas.openxmlformats.org/package/2006/relationships"><Relationship Type="http://schemas.openxmlformats.org/officeDocument/2006/relationships/hyperlink" Id="rId71" Target="https://assets.inductiveautomation.com/s3fs-production/test_folder/21%20CFR%20Part%2011%20and%20Pharmaceutical%20Best%20Practices%20with%20Ignition_3.pdf" TargetMode="External" /><Relationship Type="http://schemas.openxmlformats.org/officeDocument/2006/relationships/hyperlink" Id="rId47" Target="https://assets.inductiveautomation.com/s3fs-production/test_folder/21%20CFR%20Part%2011%20and%20Pharmaceutical%20Best%20Practices%20with%20Ignition_3.pdf#:~:text=2,Record%20and%20Electronic%20Signature%20requirements" TargetMode="External" /><Relationship Type="http://schemas.openxmlformats.org/officeDocument/2006/relationships/hyperlink" Id="rId22" Target="https://assets.inductiveautomation.com/s3fs-production/test_folder/21%20CFR%20Part%2011%20and%20Pharmaceutical%20Best%20Practices%20with%20Ignition_3.pdf#:~:text=ALCOA%2B%20Additional%20Information%3A%20%E2%80%9CData%20integrity,%E2%80%9Cavailable%2C%20enduring%2C%20consistent%2C%20and%20complete%E2%80%9D" TargetMode="External" /><Relationship Type="http://schemas.openxmlformats.org/officeDocument/2006/relationships/hyperlink" Id="rId30" Target="https://assets.inductiveautomation.com/s3fs-production/test_folder/21%20CFR%20Part%2011%20and%20Pharmaceutical%20Best%20Practices%20with%20Ignition_3.pdf#:~:text=Architecture,10%20of%2047" TargetMode="External" /><Relationship Type="http://schemas.openxmlformats.org/officeDocument/2006/relationships/hyperlink" Id="rId39" Target="https://assets.inductiveautomation.com/s3fs-production/test_folder/21%20CFR%20Part%2011%20and%20Pharmaceutical%20Best%20Practices%20with%20Ignition_3.pdf#:~:text=Extra%20consideration%20of%20database%20protections,forward%20cache.%20Additional%20mitigation%20is" TargetMode="External" /><Relationship Type="http://schemas.openxmlformats.org/officeDocument/2006/relationships/hyperlink" Id="rId46" Target="https://assets.inductiveautomation.com/s3fs-production/test_folder/21%20CFR%20Part%2011%20and%20Pharmaceutical%20Best%20Practices%20with%20Ignition_3.pdf#:~:text=Extra%20consideration%20of%20database%20protections,iii" TargetMode="External" /><Relationship Type="http://schemas.openxmlformats.org/officeDocument/2006/relationships/hyperlink" Id="rId38" Target="https://assets.inductiveautomation.com/s3fs-production/test_folder/21%20CFR%20Part%2011%20and%20Pharmaceutical%20Best%20Practices%20with%20Ignition_3.pdf#:~:text=Follow%20the%20Ignition%20Security%20Hardening,OpenID%20Connect%20for%20Identity%20Providers" TargetMode="External" /><Relationship Type="http://schemas.openxmlformats.org/officeDocument/2006/relationships/hyperlink" Id="rId29" Target="https://assets.inductiveautomation.com/s3fs-production/test_folder/21%20CFR%20Part%2011%20and%20Pharmaceutical%20Best%20Practices%20with%20Ignition_3.pdf#:~:text=Guide%20to%20assist%20with%20best,2" TargetMode="External" /><Relationship Type="http://schemas.openxmlformats.org/officeDocument/2006/relationships/hyperlink" Id="rId37" Target="https://assets.inductiveautomation.com/s3fs-production/test_folder/21%20CFR%20Part%2011%20and%20Pharmaceutical%20Best%20Practices%20with%20Ignition_3.pdf#:~:text=Guide%20to%20assist%20with%20best,Okta%2C%20Ping%2C%20offer%20powerful%20hybrids" TargetMode="External" /><Relationship Type="http://schemas.openxmlformats.org/officeDocument/2006/relationships/hyperlink" Id="rId24" Target="https://assets.inductiveautomation.com/s3fs-production/test_folder/21%20CFR%20Part%2011%20and%20Pharmaceutical%20Best%20Practices%20with%20Ignition_3.pdf#:~:text=This%20guide%20proposes%20that%20the,Operational%20and%206%20of%2047" TargetMode="External" /><Relationship Type="http://schemas.openxmlformats.org/officeDocument/2006/relationships/hyperlink" Id="rId23" Target="https://assets.inductiveautomation.com/s3fs-production/test_folder/21%20CFR%20Part%2011%20and%20Pharmaceutical%20Best%20Practices%20with%20Ignition_3.pdf#:~:text=Tip%3A%20GAMP%205%20%28section%2048,GAMP%205" TargetMode="External" /><Relationship Type="http://schemas.openxmlformats.org/officeDocument/2006/relationships/hyperlink" Id="rId36" Target="https://info.highbyte.com/hubfs/HighByte-WP-DataOps-The-Missing-Link-in-Your-Industrial-Data-Architecture-september-2021.pdf" TargetMode="External" /><Relationship Type="http://schemas.openxmlformats.org/officeDocument/2006/relationships/hyperlink" Id="rId44" Target="https://info.highbyte.com/hubfs/HighByte-WP-DataOps-The-Missing-Link-in-Your-Industrial-Data-Architecture-september-2021.pdf#:~:text=Codeless%20integration,raw%20data%20or%20modeled%20information" TargetMode="External" /><Relationship Type="http://schemas.openxmlformats.org/officeDocument/2006/relationships/hyperlink" Id="rId45" Target="https://info.highbyte.com/hubfs/HighByte-WP-DataOps-The-Missing-Link-in-Your-Industrial-Data-Architecture-september-2021.pdf#:~:text=Codeless%20integration,the%20volume%20of%20data%20transmissions" TargetMode="External" /><Relationship Type="http://schemas.openxmlformats.org/officeDocument/2006/relationships/hyperlink" Id="rId80" Target="https://sgsystemsglobal.com/glossary/gxp-data-lake-and-analytics-platform/" TargetMode="External" /><Relationship Type="http://schemas.openxmlformats.org/officeDocument/2006/relationships/hyperlink" Id="rId49" Target="https://sgsystemsglobal.com/glossary/gxp-data-lake-and-analytics-platform/#:~:text=10,Digital%20Twins" TargetMode="External" /><Relationship Type="http://schemas.openxmlformats.org/officeDocument/2006/relationships/hyperlink" Id="rId42" Target="https://sgsystemsglobal.com/glossary/gxp-data-lake-and-analytics-platform/#:~:text=7,Audit%20Trails" TargetMode="External" /><Relationship Type="http://schemas.openxmlformats.org/officeDocument/2006/relationships/hyperlink" Id="rId48" Target="https://sgsystemsglobal.com/glossary/gxp-data-lake-and-analytics-platform/#:~:text=8,Segregation%20of%20Duties" TargetMode="External" /><Relationship Type="http://schemas.openxmlformats.org/officeDocument/2006/relationships/hyperlink" Id="rId40" Target="https://sgsystemsglobal.com/glossary/gxp-data-lake-and-analytics-platform/#:~:text=Architecturally%2C%20this%20is%20often%20implemented,CPV%20report%20or%20regulatory%20submission" TargetMode="External" /><Relationship Type="http://schemas.openxmlformats.org/officeDocument/2006/relationships/hyperlink" Id="rId41" Target="https://sgsystemsglobal.com/glossary/gxp-data-lake-and-analytics-platform/#:~:text=Because%20the%20data%20lake%20stores,data%20and%20controlled%20documents%20underneath" TargetMode="External" /><Relationship Type="http://schemas.openxmlformats.org/officeDocument/2006/relationships/hyperlink" Id="rId31" Target="https://sgsystemsglobal.com/glossary/gxp-data-lake-and-analytics-platform/#:~:text=consistent%20set%20of%20trusted%20building,wants%20to%20own%20long%20term" TargetMode="External" /><Relationship Type="http://schemas.openxmlformats.org/officeDocument/2006/relationships/hyperlink" Id="rId60" Target="https://www.fda.gov/media/188844/download" TargetMode="External" /><Relationship Type="http://schemas.openxmlformats.org/officeDocument/2006/relationships/hyperlink" Id="rId63" Target="https://www.fda.gov/media/188844/download#:~:text=Scripted%20testing%3A%20Testing%20in%20which,traceability%2C%20or%20auditability%20may%20be" TargetMode="External" /><Relationship Type="http://schemas.openxmlformats.org/officeDocument/2006/relationships/hyperlink" Id="rId68" Target="https://www.fda.gov/media/188844/download#:~:text=The%20data%20and%20information%20periodically,of%20the%20quality%20management%20system" TargetMode="External" /><Relationship Type="http://schemas.openxmlformats.org/officeDocument/2006/relationships/hyperlink" Id="rId67" Target="https://www.fda.gov/media/188844/download#:~:text=The%20data%20and%20information%20periodically,when%20deciding%20on%20assurance%20activities" TargetMode="External" /><Relationship Type="http://schemas.openxmlformats.org/officeDocument/2006/relationships/hyperlink" Id="rId56" Target="https://www.fda.gov/media/188844/download#:~:text=Unscripted%20testing%3A%20Dynamic%20testing%20in,failures%20or%20general%20knowledge%20of" TargetMode="External" /><Relationship Type="http://schemas.openxmlformats.org/officeDocument/2006/relationships/hyperlink" Id="rId58" Target="https://www.fda.gov/media/188844/download#:~:text=consider%20whether%20there%20are%20any,Second%20Edition" TargetMode="External" /><Relationship Type="http://schemas.openxmlformats.org/officeDocument/2006/relationships/hyperlink" Id="rId57" Target="https://www.fda.gov/media/188844/download#:~:text=process%20risk%2C%20manufacturers%20may%20consider,risk%20features%2C%20functions%2C%20and%20operations" TargetMode="External" /><Relationship Type="http://schemas.openxmlformats.org/officeDocument/2006/relationships/hyperlink" Id="rId79" Target="https://www.hivemq.com/blog/building-compliant-event-driven-architecture-pharma-mqtt-hivemq/" TargetMode="External" /><Relationship Type="http://schemas.openxmlformats.org/officeDocument/2006/relationships/hyperlink" Id="rId25" Target="https://www.hivemq.com/blog/building-compliant-event-driven-architecture-pharma-mqtt-hivemq/#:~:text=Deterministic%20Behavior%20and%20Validation%20in,Critical%20Context" TargetMode="External" /><Relationship Type="http://schemas.openxmlformats.org/officeDocument/2006/relationships/hyperlink" Id="rId26" Target="https://www.hivemq.com/blog/building-compliant-event-driven-architecture-pharma-mqtt-hivemq/#:~:text=Distributed%20event%20systems%20often%20exhibit,the%20moment%20message%20order%20or" TargetMode="External" /><Relationship Type="http://schemas.openxmlformats.org/officeDocument/2006/relationships/hyperlink" Id="rId75" Target="https://www.hivemq.com/blog/building-compliant-event-driven-architecture-pharma-mqtt-hivemq/#:~:text=HiveMQ%20transforms%20MQTT%20from%20a,deterministic%20behavior%2C%20and%20full%20auditability" TargetMode="External" /><Relationship Type="http://schemas.openxmlformats.org/officeDocument/2006/relationships/hyperlink" Id="rId73" Target="https://www.hivemq.com/blog/building-compliant-event-driven-architecture-pharma-mqtt-hivemq/#:~:text=Observability%20and%20Auditability" TargetMode="External" /><Relationship Type="http://schemas.openxmlformats.org/officeDocument/2006/relationships/hyperlink" Id="rId28" Target="https://www.hivemq.com/blog/building-compliant-event-driven-architecture-pharma-mqtt-hivemq/#:~:text=Secure%20and%20Controlled%20Data%20Exchange,Across%20IT%2FOT%2FCloud%20Boundaries" TargetMode="External" /><Relationship Type="http://schemas.openxmlformats.org/officeDocument/2006/relationships/hyperlink" Id="rId35" Target="https://www.hivemq.com/blog/building-compliant-event-driven-architecture-pharma-mqtt-hivemq/#:~:text=Secure%20by%20Design" TargetMode="External" /><Relationship Type="http://schemas.openxmlformats.org/officeDocument/2006/relationships/hyperlink" Id="rId33" Target="https://www.hivemq.com/blog/building-compliant-event-driven-architecture-pharma-mqtt-hivemq/#:~:text=Some%20typical%20broker" TargetMode="External" /><Relationship Type="http://schemas.openxmlformats.org/officeDocument/2006/relationships/hyperlink" Id="rId34" Target="https://www.hivemq.com/blog/building-compliant-event-driven-architecture-pharma-mqtt-hivemq/#:~:text=True%20Clustering%20for%20Zero%20Downtime" TargetMode="External" /><Relationship Type="http://schemas.openxmlformats.org/officeDocument/2006/relationships/hyperlink" Id="rId27" Target="https://www.hivemq.com/blog/building-compliant-event-driven-architecture-pharma-mqtt-hivemq/#:~:text=across%20diverse%20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2026-02-03T18:00:09Z</dcterms:created>
  <dcterms:modified xsi:type="dcterms:W3CDTF">2026-02-03T18:00:09Z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