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9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Anthony Faranca, Carolyn Faranca v. Luis Bonilla, et al; 2006 Mealey's Jury Verdicts &amp; Settlements 274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05-01749</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2006</w:t>
      </w:r>
    </w:p>
    <w:p>
      <w:pPr>
        <w:keepNext w:val="0"/>
        <w:spacing w:after="0" w:line="240" w:lineRule="atLeast"/>
        <w:ind w:right="0"/>
        <w:jc w:val="both"/>
      </w:pPr>
    </w:p>
    <w:p>
      <w:pPr>
        <w:keepNext w:val="0"/>
        <w:spacing w:before="240" w:after="0" w:line="260" w:lineRule="atLeast"/>
        <w:ind w:left="0" w:right="0" w:firstLine="0"/>
        <w:jc w:val="left"/>
      </w:pPr>
      <w:bookmarkStart w:id="1" w:name="Headline"/>
      <w:bookmarkEnd w:id="1"/>
      <w:r>
        <w:rPr>
          <w:rFonts w:ascii="arial" w:eastAsia="arial" w:hAnsi="arial" w:cs="arial"/>
          <w:b/>
          <w:i w:val="0"/>
          <w:strike w:val="0"/>
          <w:noProof w:val="0"/>
          <w:color w:val="000000"/>
          <w:position w:val="0"/>
          <w:sz w:val="20"/>
          <w:u w:val="none"/>
          <w:vertAlign w:val="baseline"/>
        </w:rPr>
        <w:t>Headline:</w:t>
      </w:r>
      <w:r>
        <w:rPr>
          <w:rFonts w:ascii="arial" w:eastAsia="arial" w:hAnsi="arial" w:cs="arial"/>
          <w:b w:val="0"/>
          <w:i w:val="0"/>
          <w:strike w:val="0"/>
          <w:noProof w:val="0"/>
          <w:color w:val="000000"/>
          <w:position w:val="0"/>
          <w:sz w:val="20"/>
          <w:u w:val="none"/>
          <w:vertAlign w:val="baseline"/>
        </w:rPr>
        <w:t xml:space="preserve"> New Jersey Man Receives $75,000 Settlement In Auto </w:t>
      </w:r>
      <w:r>
        <w:rPr>
          <w:rFonts w:ascii="arial" w:eastAsia="arial" w:hAnsi="arial" w:cs="arial"/>
          <w:b/>
          <w:i/>
          <w:strike w:val="0"/>
          <w:noProof w:val="0"/>
          <w:color w:val="000000"/>
          <w:position w:val="0"/>
          <w:sz w:val="20"/>
          <w:u w:val="single"/>
          <w:vertAlign w:val="baseline"/>
        </w:rPr>
        <w:t>Accident</w:t>
      </w:r>
    </w:p>
    <w:p>
      <w:pPr>
        <w:keepNext w:val="0"/>
        <w:spacing w:before="240" w:after="0" w:line="260" w:lineRule="atLeast"/>
        <w:ind w:left="0" w:right="0" w:firstLine="0"/>
        <w:jc w:val="left"/>
      </w:pPr>
      <w:bookmarkStart w:id="2" w:name="Result"/>
      <w:bookmarkEnd w:id="2"/>
      <w:r>
        <w:rPr>
          <w:rFonts w:ascii="arial" w:eastAsia="arial" w:hAnsi="arial" w:cs="arial"/>
          <w:b/>
          <w:i w:val="0"/>
          <w:strike w:val="0"/>
          <w:noProof w:val="0"/>
          <w:color w:val="000000"/>
          <w:position w:val="0"/>
          <w:sz w:val="20"/>
          <w:u w:val="none"/>
          <w:vertAlign w:val="baseline"/>
        </w:rPr>
        <w:t>Result:</w:t>
      </w:r>
      <w:r>
        <w:rPr>
          <w:rFonts w:ascii="arial" w:eastAsia="arial" w:hAnsi="arial" w:cs="arial"/>
          <w:b w:val="0"/>
          <w:i w:val="0"/>
          <w:strike w:val="0"/>
          <w:noProof w:val="0"/>
          <w:color w:val="000000"/>
          <w:position w:val="0"/>
          <w:sz w:val="20"/>
          <w:u w:val="none"/>
          <w:vertAlign w:val="baseline"/>
        </w:rPr>
        <w:t> $75,000 settlement</w:t>
      </w:r>
    </w:p>
    <w:p>
      <w:pPr>
        <w:keepNext w:val="0"/>
        <w:spacing w:before="240" w:after="0" w:line="260" w:lineRule="atLeast"/>
        <w:ind w:left="0" w:right="0" w:firstLine="0"/>
        <w:jc w:val="left"/>
      </w:pPr>
      <w:bookmarkStart w:id="3" w:name="Court"/>
      <w:bookmarkEnd w:id="3"/>
      <w:r>
        <w:rPr>
          <w:rFonts w:ascii="arial" w:eastAsia="arial" w:hAnsi="arial" w:cs="arial"/>
          <w:b/>
          <w:i w:val="0"/>
          <w:strike w:val="0"/>
          <w:noProof w:val="0"/>
          <w:color w:val="000000"/>
          <w:position w:val="0"/>
          <w:sz w:val="20"/>
          <w:u w:val="none"/>
          <w:vertAlign w:val="baseline"/>
        </w:rPr>
        <w:t>Court:</w:t>
      </w:r>
      <w:r>
        <w:rPr>
          <w:rFonts w:ascii="arial" w:eastAsia="arial" w:hAnsi="arial" w:cs="arial"/>
          <w:b w:val="0"/>
          <w:i w:val="0"/>
          <w:strike w:val="0"/>
          <w:noProof w:val="0"/>
          <w:color w:val="000000"/>
          <w:position w:val="0"/>
          <w:sz w:val="20"/>
          <w:u w:val="none"/>
          <w:vertAlign w:val="baseline"/>
        </w:rPr>
        <w:t> D. N.J.</w:t>
      </w:r>
    </w:p>
    <w:p>
      <w:pPr>
        <w:keepNext w:val="0"/>
        <w:spacing w:before="240" w:after="0" w:line="260" w:lineRule="atLeast"/>
        <w:ind w:left="0" w:right="0" w:firstLine="0"/>
        <w:jc w:val="left"/>
      </w:pPr>
      <w:bookmarkStart w:id="4" w:name="Judge"/>
      <w:bookmarkEnd w:id="4"/>
      <w:r>
        <w:rPr>
          <w:rFonts w:ascii="arial" w:eastAsia="arial" w:hAnsi="arial" w:cs="arial"/>
          <w:b/>
          <w:i w:val="0"/>
          <w:strike w:val="0"/>
          <w:noProof w:val="0"/>
          <w:color w:val="000000"/>
          <w:position w:val="0"/>
          <w:sz w:val="20"/>
          <w:u w:val="none"/>
          <w:vertAlign w:val="baseline"/>
        </w:rPr>
        <w:t>Judge:</w:t>
      </w:r>
      <w:r>
        <w:rPr>
          <w:rFonts w:ascii="arial" w:eastAsia="arial" w:hAnsi="arial" w:cs="arial"/>
          <w:b w:val="0"/>
          <w:i w:val="0"/>
          <w:strike w:val="0"/>
          <w:noProof w:val="0"/>
          <w:color w:val="000000"/>
          <w:position w:val="0"/>
          <w:sz w:val="20"/>
          <w:u w:val="none"/>
          <w:vertAlign w:val="baseline"/>
        </w:rPr>
        <w:t> Mary L. Cooper</w:t>
      </w:r>
    </w:p>
    <w:p>
      <w:pPr>
        <w:keepNext w:val="0"/>
        <w:spacing w:before="240" w:after="0" w:line="260" w:lineRule="atLeast"/>
        <w:ind w:left="0" w:right="0" w:firstLine="0"/>
        <w:jc w:val="left"/>
      </w:pPr>
      <w:bookmarkStart w:id="5" w:name="Plaintiff Profile"/>
      <w:bookmarkEnd w:id="5"/>
      <w:r>
        <w:rPr>
          <w:rFonts w:ascii="arial" w:eastAsia="arial" w:hAnsi="arial" w:cs="arial"/>
          <w:b/>
          <w:i w:val="0"/>
          <w:strike w:val="0"/>
          <w:noProof w:val="0"/>
          <w:color w:val="000000"/>
          <w:position w:val="0"/>
          <w:sz w:val="20"/>
          <w:u w:val="none"/>
          <w:vertAlign w:val="baseline"/>
        </w:rPr>
        <w:t>Plaintiff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Anthony Faranca, Carolyn Faranca</w:t>
      </w:r>
    </w:p>
    <w:p>
      <w:pPr>
        <w:keepNext w:val="0"/>
        <w:spacing w:before="240" w:after="0" w:line="260" w:lineRule="atLeast"/>
        <w:ind w:left="0" w:right="0" w:firstLine="0"/>
        <w:jc w:val="left"/>
      </w:pPr>
      <w:bookmarkStart w:id="6" w:name="Defendant Profile"/>
      <w:bookmarkEnd w:id="6"/>
      <w:r>
        <w:rPr>
          <w:rFonts w:ascii="arial" w:eastAsia="arial" w:hAnsi="arial" w:cs="arial"/>
          <w:b/>
          <w:i w:val="0"/>
          <w:strike w:val="0"/>
          <w:noProof w:val="0"/>
          <w:color w:val="000000"/>
          <w:position w:val="0"/>
          <w:sz w:val="20"/>
          <w:u w:val="none"/>
          <w:vertAlign w:val="baseline"/>
        </w:rPr>
        <w:t>Defendant Profile</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Luis Bonilla, Horizon Medical Day Care Center Inc. &amp; Galletta</w:t>
      </w:r>
    </w:p>
    <w:p>
      <w:pPr>
        <w:keepNext w:val="0"/>
        <w:spacing w:before="240" w:after="0" w:line="260" w:lineRule="atLeast"/>
        <w:ind w:left="0" w:right="0" w:firstLine="0"/>
        <w:jc w:val="left"/>
      </w:pPr>
      <w:bookmarkStart w:id="7" w:name="Plaintiff Counsel"/>
      <w:bookmarkEnd w:id="7"/>
      <w:r>
        <w:rPr>
          <w:rFonts w:ascii="arial" w:eastAsia="arial" w:hAnsi="arial" w:cs="arial"/>
          <w:b/>
          <w:i w:val="0"/>
          <w:strike w:val="0"/>
          <w:noProof w:val="0"/>
          <w:color w:val="000000"/>
          <w:position w:val="0"/>
          <w:sz w:val="20"/>
          <w:u w:val="none"/>
          <w:vertAlign w:val="baseline"/>
        </w:rPr>
        <w:t>Plaintiff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Jonathan J. Sobel, Galerman &amp; Tabakin, Voorhees, N.J</w:t>
      </w:r>
    </w:p>
    <w:p>
      <w:pPr>
        <w:keepNext w:val="0"/>
        <w:spacing w:before="240" w:after="0" w:line="260" w:lineRule="atLeast"/>
        <w:ind w:left="0" w:right="0" w:firstLine="0"/>
        <w:jc w:val="left"/>
      </w:pPr>
      <w:bookmarkStart w:id="8" w:name="Defendant Counsel"/>
      <w:bookmarkEnd w:id="8"/>
      <w:r>
        <w:rPr>
          <w:rFonts w:ascii="arial" w:eastAsia="arial" w:hAnsi="arial" w:cs="arial"/>
          <w:b/>
          <w:i w:val="0"/>
          <w:strike w:val="0"/>
          <w:noProof w:val="0"/>
          <w:color w:val="000000"/>
          <w:position w:val="0"/>
          <w:sz w:val="20"/>
          <w:u w:val="none"/>
          <w:vertAlign w:val="baseline"/>
        </w:rPr>
        <w:t>Defendant Counsel</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Louis J. DeMille, Malcolm Franklin &amp; Associates, Hamilton, N.J</w:t>
      </w:r>
    </w:p>
    <w:p>
      <w:pPr>
        <w:keepNext w:val="0"/>
        <w:spacing w:before="240" w:after="0" w:line="260" w:lineRule="atLeast"/>
        <w:ind w:left="0" w:right="0" w:firstLine="0"/>
        <w:jc w:val="left"/>
      </w:pPr>
      <w:bookmarkStart w:id="9" w:name="Case Summary"/>
      <w:bookmarkEnd w:id="9"/>
      <w:r>
        <w:rPr>
          <w:rFonts w:ascii="arial" w:eastAsia="arial" w:hAnsi="arial" w:cs="arial"/>
          <w:b/>
          <w:i w:val="0"/>
          <w:strike w:val="0"/>
          <w:noProof w:val="0"/>
          <w:color w:val="000000"/>
          <w:position w:val="0"/>
          <w:sz w:val="20"/>
          <w:u w:val="none"/>
          <w:vertAlign w:val="baseline"/>
        </w:rPr>
        <w:t>Case Summary</w:t>
      </w:r>
    </w:p>
    <w:p>
      <w:pPr>
        <w:keepNext w:val="0"/>
        <w:spacing w:before="240" w:after="0" w:line="260" w:lineRule="atLeast"/>
        <w:ind w:left="0" w:right="0" w:firstLine="0"/>
        <w:jc w:val="left"/>
      </w:pPr>
      <w:bookmarkStart w:id="10" w:name="Claim"/>
      <w:bookmarkEnd w:id="10"/>
      <w:r>
        <w:rPr>
          <w:rFonts w:ascii="arial" w:eastAsia="arial" w:hAnsi="arial" w:cs="arial"/>
          <w:b/>
          <w:i w:val="0"/>
          <w:strike w:val="0"/>
          <w:noProof w:val="0"/>
          <w:color w:val="000000"/>
          <w:position w:val="0"/>
          <w:sz w:val="20"/>
          <w:u w:val="none"/>
          <w:vertAlign w:val="baseline"/>
        </w:rPr>
        <w:t>Claim:</w:t>
      </w:r>
      <w:r>
        <w:rPr>
          <w:rFonts w:ascii="arial" w:eastAsia="arial" w:hAnsi="arial" w:cs="arial"/>
          <w:b w:val="0"/>
          <w:i w:val="0"/>
          <w:strike w:val="0"/>
          <w:noProof w:val="0"/>
          <w:color w:val="000000"/>
          <w:position w:val="0"/>
          <w:sz w:val="20"/>
          <w:u w:val="none"/>
          <w:vertAlign w:val="baseline"/>
        </w:rPr>
        <w:t> Negligence, carelessness and recklessness</w:t>
      </w:r>
    </w:p>
    <w:p>
      <w:pPr>
        <w:keepNext w:val="0"/>
        <w:spacing w:before="120" w:after="0" w:line="260" w:lineRule="atLeast"/>
        <w:ind w:left="0" w:right="0" w:firstLine="0"/>
        <w:jc w:val="left"/>
      </w:pPr>
      <w:bookmarkStart w:id="11" w:name="Background"/>
      <w:bookmarkEnd w:id="11"/>
      <w:r>
        <w:rPr>
          <w:rFonts w:ascii="arial" w:eastAsia="arial" w:hAnsi="arial" w:cs="arial"/>
          <w:b/>
          <w:i w:val="0"/>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Anthony Faranca says he was driving his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on April 15, 2003,when it was struck by a commercial vehicle driven by Luis Bonilla, an employee of Horizon Medical Day Care Center Inc. &amp; Galletta. Faranca says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caused severe and permanent injuries that prevent him from pursuing usual activities. Anthony and Carolyn Faranca sued Luis Bonilla and Horizon in U.S. District Court for the District of New Jersey on April 1, 2005.</w:t>
      </w:r>
    </w:p>
    <w:p>
      <w:pPr>
        <w:keepNext w:val="0"/>
        <w:spacing w:before="120" w:after="0" w:line="260" w:lineRule="atLeast"/>
        <w:ind w:left="0" w:right="0" w:firstLine="0"/>
        <w:jc w:val="left"/>
      </w:pPr>
      <w:bookmarkStart w:id="12" w:name="Other"/>
      <w:bookmarkEnd w:id="12"/>
      <w:r>
        <w:rPr>
          <w:rFonts w:ascii="arial" w:eastAsia="arial" w:hAnsi="arial" w:cs="arial"/>
          <w:b/>
          <w:i w:val="0"/>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Carolyn Faranca was a passenger in the </w:t>
      </w:r>
      <w:r>
        <w:rPr>
          <w:rFonts w:ascii="arial" w:eastAsia="arial" w:hAnsi="arial" w:cs="arial"/>
          <w:b/>
          <w:i/>
          <w:strike w:val="0"/>
          <w:noProof w:val="0"/>
          <w:color w:val="000000"/>
          <w:position w:val="0"/>
          <w:sz w:val="20"/>
          <w:u w:val="single"/>
          <w:vertAlign w:val="baseline"/>
        </w:rPr>
        <w:t>car</w:t>
      </w:r>
      <w:r>
        <w:rPr>
          <w:rFonts w:ascii="arial" w:eastAsia="arial" w:hAnsi="arial" w:cs="arial"/>
          <w:b w:val="0"/>
          <w:i w:val="0"/>
          <w:strike w:val="0"/>
          <w:noProof w:val="0"/>
          <w:color w:val="000000"/>
          <w:position w:val="0"/>
          <w:sz w:val="20"/>
          <w:u w:val="none"/>
          <w:vertAlign w:val="baseline"/>
        </w:rPr>
        <w:t xml:space="preserve"> at the time of the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0" w:right="0" w:firstLine="0"/>
        <w:jc w:val="left"/>
      </w:pPr>
      <w:bookmarkStart w:id="13" w:name="Defense"/>
      <w:bookmarkEnd w:id="13"/>
      <w:r>
        <w:rPr>
          <w:rFonts w:ascii="arial" w:eastAsia="arial" w:hAnsi="arial" w:cs="arial"/>
          <w:b/>
          <w:i w:val="0"/>
          <w:strike w:val="0"/>
          <w:noProof w:val="0"/>
          <w:color w:val="000000"/>
          <w:position w:val="0"/>
          <w:sz w:val="20"/>
          <w:u w:val="none"/>
          <w:vertAlign w:val="baseline"/>
        </w:rPr>
        <w:t>Defense:</w:t>
      </w:r>
      <w:r>
        <w:rPr>
          <w:rFonts w:ascii="arial" w:eastAsia="arial" w:hAnsi="arial" w:cs="arial"/>
          <w:b w:val="0"/>
          <w:i w:val="0"/>
          <w:strike w:val="0"/>
          <w:noProof w:val="0"/>
          <w:color w:val="000000"/>
          <w:position w:val="0"/>
          <w:sz w:val="20"/>
          <w:u w:val="none"/>
          <w:vertAlign w:val="baseline"/>
        </w:rPr>
        <w:t xml:space="preserve"> Allegations denied. Impact of </w:t>
      </w:r>
      <w:r>
        <w:rPr>
          <w:rFonts w:ascii="arial" w:eastAsia="arial" w:hAnsi="arial" w:cs="arial"/>
          <w:b/>
          <w:i/>
          <w:strike w:val="0"/>
          <w:noProof w:val="0"/>
          <w:color w:val="000000"/>
          <w:position w:val="0"/>
          <w:sz w:val="20"/>
          <w:u w:val="single"/>
          <w:vertAlign w:val="baseline"/>
        </w:rPr>
        <w:t>accident</w:t>
      </w:r>
      <w:r>
        <w:rPr>
          <w:rFonts w:ascii="arial" w:eastAsia="arial" w:hAnsi="arial" w:cs="arial"/>
          <w:b w:val="0"/>
          <w:i w:val="0"/>
          <w:strike w:val="0"/>
          <w:noProof w:val="0"/>
          <w:color w:val="000000"/>
          <w:position w:val="0"/>
          <w:sz w:val="20"/>
          <w:u w:val="none"/>
          <w:vertAlign w:val="baseline"/>
        </w:rPr>
        <w:t xml:space="preserve"> was minor.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Key Related Documents</w: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Order and judgment available.Document #99-060731-202R.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Opinion denying the motion to vacate available.Document #99-060731-203Z.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Motion to vacate judgment available.Document #99-060731-204M.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Order granting motion for default judgment available.Document #99-060731-205R.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Motion for default judgment available.Document #99-060731-206M.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Response to motion for default judgment available.Document #99-060731-207M.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Brief in support of motion for default judgment available.Document #99-060731-208B.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Motion for default judgment available.Document #99-060731-209M.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Complaint available.Document #99-060731-210C. </w:t>
      </w: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2006 LexisNexis, Division of Reed Elsevier Inc.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LexisNexis Jury Verdicts and Settlement Report</w:t>
      </w:r>
    </w:p>
    <w:p/>
    <w:p>
      <w:pPr>
        <w:ind w:left="200"/>
      </w:pPr>
      <w:r>
        <w:br/>
      </w:r>
      <w:r>
        <w:pict>
          <v:line id="_x0000_s1025" style="position:absolute;z-index:25165824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Joseph Avery</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Joseph Avery</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Anthony Faranca, Carolyn Faranca v. Luis Bonilla, et al; 2006 Mealey's Jury Verdicts &amp; Settlements 274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jury-verdicts-settlements&amp;id=urn:contentItem:4KJC-M130-0223-Y0J0-00000-00&amp;context=" TargetMode="External"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Anthony Faranca, Carolyn Faranca v. Luis Bonilla, et al; 2006 Mealey's Jury Verdicts &amp; Settlements 274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78207115</vt:lpwstr>
  </property>
  <property fmtid="{D5CDD505-2E9C-101B-9397-08002B2CF9AE}" pid="3" name="LADocCount">
    <vt:lpwstr>1</vt:lpwstr>
  </property>
  <property fmtid="{D5CDD505-2E9C-101B-9397-08002B2CF9AE}" pid="4" name="UserPermID">
    <vt:lpwstr>urn:user:PA186067930</vt:lpwstr>
  </property>
</Properties>
</file>