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Chris Ruediger v. Sebastien Perron, Transport SAS Inc., Markel Canada; 2006 Mealey's Jury Verdicts &amp; Settlements 516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04-04541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Jerome B. Simandle</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 Ruediger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Sebastien Perron, Transport SAS Inc., Markel Canada</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Dante J. Sarubbi, W. James Jakobowski, Sarubbi &amp; Jakobowski, Audubon,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A. Abrams, Strongin, Rothman &amp; Abrams, Livingston,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June 4, 2003, Chris Ruediger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westbound on River Road in Camden, N.J., when he was struck by a truck driven by Sebastien Perron and owned by Transport SAS Inc. and Markel Canada.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Ruediger said he suffered diverse painful and permanent external and internal injuries and his nervous system was greatly shocked. Ruediger sued Perron, Transport SAS Inc. and Markel Canada in the Camden County Superior Court on July 13, 2004, and the case was removed to the U.S. District Court for the District of New Jersey on Sept. 16,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to dismiss available.Document #99-060904-201R.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#99-060904-202M.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#99-060904-203C.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 Ruediger v. Sebastien Perron, Transport SAS Inc., Markel Canada; 2006 Mealey's Jury Verdicts &amp; Settlements 516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VX-2NP0-0223-Y0WC-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Ruediger v. Sebastien Perron, Transport SAS Inc., Markel Canada; 2006 Mealey's Jury Verdicts &amp; Settlements 516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