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Christine Kelly v. Lillie M. Johnson; 2006 Mealey's Jury Verdicts &amp; Settlements 945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05-00540</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26,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Robert B. Kugler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Christine Kelly</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Lillie M. Johnson</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J. McNamara, Law Offices of Peter J. McNamara, Philadelphia</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L. Jakob, David B. Wright &amp; Associates, Mount Laurel,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Jan. 28, 2003, Lillie M. Johnson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attempting to make a left turn from Route 9 onto Maryland Avenue in Cape May County, N.J., when she struck Christine Kelly, causing a back injury to Kelly.Kelly sued Johnson on Jan. 27, 2005,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told Mealey Publications that the case was settled for the policy limit of Johnson's State Farm auto insurance policy, and those terms were not announced. The case was dismissed without prejudice.Johnson filed a request for a trial de novo on Aug. 23, 2006, and the matter was resolved at the time the case was dismissed.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available.Document #99-061016-204R.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request for trial de novo available.Document #99-061016-205X.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#99-061016-206M.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#99-061016-207C.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Christine Kelly v. Lillie M. Johnson; 2006 Mealey's Jury Verdicts &amp; Settlements 945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6G-XFJ0-0223-Y1F1-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Christine Kelly v. Lillie M. Johnson; 2006 Mealey's Jury Verdicts &amp; Settlements 945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