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Crystal Burkert v. Holcomb Bus Service Inc; 2013 LexisNexis Jury Verdicts &amp; Settlements 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CAM-L-522210</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 2013</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Jury Returns $5 Million Verdict Against Bus Company In Injury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 million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Pelvic fractures, back injuries and traumatic brain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Camden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Louis R. Meloni</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Crystal Burkert</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Holcomb Bus Service Inc</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J. Badey III and Michael H. DiGenova, Badey Sloan &amp; DiGenova, Philadelphia</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Crystal Burkert sued Holcomb Bus Service Inc. in the Camden County, N.J., Superior Court.A source told Mealey Publications that on Dec. 3, 2007, high school junior Burkert was dropped off at an unapproved, improper and unsafe location by a Holcomb Bus Service driver. While walking along this road, she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a drunken driver.The source said that Holcomb Bus Service is a private contractor for New Jersey public school bus transportation. The source noted that Burkert said she was told to exit the bus three-tenths of a mile from her home and walk down a high-speed, rural road with no sidewalks instead of getting dropped her off at the designated stop in front of her home. The Holcomb Bus Service driver allegedly did this more than 40 times the year before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occurred because it shortened the bus route.</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source said that the trial lasted 2-1/2 weeks and that the defendant offered a $125,000 settlement before trial.</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The source said that the defendant contended that the drunken driver was responsible for Burkert's injuries.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Crystal Burkert v. Holcomb Bus Service Inc; 2013 LexisNexis Jury Verdicts &amp; Settlements 49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58SD-7M40-0223-Y2MR-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Burkert v. Holcomb Bus Service Inc; 2013 LexisNexis Jury Verdicts &amp; Settlements 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