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David Shade and Theresa Shade v. Melinda Lafferty and Krista M. North; 2006 Mealey's Jury Verdicts &amp; Settlements 647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04-02146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 26,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$97,500 Settlement Reached In New Jersey 3-</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$97,500 settlement ($47,500 from Lafferty, $50,000 from North)</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Stanley R. Chesler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Shade and Theresa Shade</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Melinda Lafferty and Krista M. North</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Arthur L. Bugay, Galfund, Berger, Philadelphia</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G. Hahn, Hahn &amp; Howarth, Parsippany, N.J.; Kathleen T. Eustace, Romando, Tucker, Zirulnik &amp; Sherlock, Hamilton, N.J.; Anthony P. Castellani, Marlton,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David Shade said that on May 17, 2002, he was stopped in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an intersection in Readington Township, N.J., when a vehicle driven by Melinda Lafferty reared-ended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behind him, which then struck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Shade said he suffered a bulging disc, injury to his right third finger, exacerbation of prior physical conditions and pain and suffering. In a separate incident, in August 2002, Shade said 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Krista M. North and suffered a shoulder injury. Theresa Shade is David Shade's wife. The Shades sued Lafferty and North on May 7, 2004, in the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without prejudice. Lafferty was cited at the scene for careless driving. North filed for summary judgment against Lafferty on May 23, 2005, and the motion was granted June 27, 2005.</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 injuries were degenerative and age-related.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#99-060828-237R.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Pretrial order available.Document #99-060828-238R.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trial de novo available.Document #99-060828-239M.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and opinion granting North's motion for summary judgment against Lafferty available.Document #99-060828-240R.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North's motion for summary judgment available.Document #99-060828-241M.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Lafferty's answer to complaint part 1 available.Document #99-060828-242M.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North's answer to complaint part 2 available.Document #99-060828-243M.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#99-060828-244C.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Shade and Theresa Shade v. Melinda Lafferty and Krista M. North; 2006 Mealey's Jury Verdicts &amp; Settlements 647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Y2-6P50-0223-Y127-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Shade and Theresa Shade v. Melinda Lafferty and Krista M. North; 2006 Mealey's Jury Verdicts &amp; Settlements 647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