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Deborah Bonner v. Robert Pullins; 2007 Mealey's Jury Verdicts &amp; Settlements 868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MRS-L-658-05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16, 2007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Woman Severely Injured In Rear-End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Receives $3.5 Million Settlement In State Court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$3.5 million settlement ($2.5 million in cash, $1 million toward 20-year annuity)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Severe back injury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Morris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Edward Seaman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Deborah Bonner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Pullins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R. Danzi, Law Office of Daniel R. Danzi, Montville,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Jeffrey M. Kadish, Morgan Melhuish Abrutyn, Livingston, N.J.; George J. Kenny, Connell Foley, Roseland,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negligence, personal injury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March 24, 2003, Deborah Bonner was stopped in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Main Road in Montville, N.J., while she waited for traffic to clear so that she could make a left turn into the parking lot of her employer. While she was stopped, sources said Bonner was rear-ended by a truck driven by Robert Pullins of Hawthorne, N.J.As a result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sources said, Bonner suffered an injured back and bladder and has needed multiple disc fusions in her back, has trouble walking, has chronic pain and can no longer work as a bookkeeper.Bonner sued Pullins on March 2, 2005, in the Morris County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Sources said that in March 2007, Judge Stephen Smith Jr. granted summary judgment to Bonner on liability.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Arbitration summary available.Document #99-070416-201X.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#99-070416-202C.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2007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Deborah Bonner v. Robert Pullins; 2007 Mealey's Jury Verdicts &amp; Settlements 868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NJ1-VMK0-0223-Y406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Deborah Bonner v. Robert Pullins; 2007 Mealey's Jury Verdicts &amp; Settlements 868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