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Frances Shamosh v. Krisslee A. Hall; 2006 Mealey's Jury Verdicts &amp; Settlements 610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MON-L-2251-3</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8,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$40,000 Verdict Reached In New Jersey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$50,000 verdict ($40,000 after comparative negligence reduction)</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Monmouth Co.</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Robert Coogan</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Frances Shamosh</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Krisslee A. Hall</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Steven Yost, Haines &amp; Yost, Toms River,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Dennis R. O'Brien, Campbell, Foley, Lee, Murphy &amp; Cemigliaro, Asbury, Park,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Frances Shamosh said that on May 30, 2001, she was driving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west on 10th Avenue in Belmar, N.J., and Krisslee A. Hall was driving east on 10th Avenue and turning left onto Main Street. While making the turn, Hall took her eyes off the road as she picked up her cellular telephone, which she had dropped on the passenger side floor. As a result, the front of Hall's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crashed into the driver's side of Shamosh's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Shamosh said she suffered injuries to the lumbo-sacral spinal areas of her lower back, along with a bruised knee, bruised lower rib cage and soft tissue damage. She said she has marked soreness and pain in her lower back. Shamosh sued Hall in Monmouth County, N.J., Superior Court on May 21, 2003.</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jury found Hall negligent and liable for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but Shamosh was also found negligent and assigned 20 percent comparative negligence, thus reducing the damages to $40,000.</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plaintiff guilty of contributory negligence.</w:t>
      </w:r>
    </w:p>
    <w:p>
      <w:pPr>
        <w:keepNext w:val="0"/>
        <w:spacing w:before="240" w:after="0" w:line="260" w:lineRule="atLeast"/>
        <w:ind w:left="0" w:right="0" w:firstLine="0"/>
        <w:jc w:val="left"/>
      </w:pPr>
      <w:bookmarkStart w:id="14" w:name="Plaintiff Expert(s)"/>
      <w:bookmarkEnd w:id="14"/>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Bruce L. Rosenblum, M.D., neurologist, Shrewsbury, N.J</w:t>
      </w:r>
    </w:p>
    <w:p>
      <w:pPr>
        <w:keepNext w:val="0"/>
        <w:spacing w:before="240" w:after="0" w:line="260" w:lineRule="atLeast"/>
        <w:ind w:left="0" w:right="0" w:firstLine="0"/>
        <w:jc w:val="left"/>
      </w:pPr>
      <w:bookmarkStart w:id="15" w:name="Defendant Expert(s)"/>
      <w:bookmarkEnd w:id="15"/>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Gordon, M.D., orthopedist, Brick Township, N.J</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Judgment available.Document #99-060904-262A.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Verdict sheet available.Document #99-060904-263V.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denying reallocation of comparative negligence available.Document #99-060904-264R.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available.Document #99-060904-265M.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#99-060904-266C.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Frances Shamosh v. Krisslee A. Hall; 2006 Mealey's Jury Verdicts &amp; Settlements 610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XM-6360-0223-Y10V-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Frances Shamosh v. Krisslee A. Hall; 2006 Mealey's Jury Verdicts &amp; Settlements 610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