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Harold E. Smith v. Alan L. Whitaker, Jr., et al; 1996 Mealey's Jury Verdicts &amp; Settlements 165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 000906 90</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1996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 s Estate Awarded $40,178 In Compensatory Damages, $3,939 In Funeral Expenses, $1.25 Million In Punitives</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$1,294,117 plaintiff verdict ($40,178 in compensatory damages and $3,939 for the net funeral and burial expenses under the Wrongful Death Act, punitive damages of $1,250,000 under the Survivor s Act)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Death</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Law Div., Cumberland Co.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Harold E. Smith, executor of the estate of Helen Robbins</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L. Whitaker Jr. and Coastal Oil of New York Inc</w:t>
      </w:r>
    </w:p>
    <w:p>
      <w:pPr>
        <w:keepNext w:val="0"/>
        <w:spacing w:before="240" w:after="0" w:line="260" w:lineRule="atLeast"/>
        <w:ind w:left="0" w:right="0" w:firstLine="0"/>
        <w:jc w:val="left"/>
      </w:pPr>
      <w:bookmarkStart w:id="7" w:name="Case Summary"/>
      <w:bookmarkEnd w:id="7"/>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8" w:name="Claim"/>
      <w:bookmarkEnd w:id="8"/>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Violations of the New Jersey Wrongful Death Act and the New Jersey Survivor s Act</w:t>
      </w:r>
    </w:p>
    <w:p>
      <w:pPr>
        <w:keepNext w:val="0"/>
        <w:spacing w:before="120" w:after="0" w:line="260" w:lineRule="atLeast"/>
        <w:ind w:left="0" w:right="0" w:firstLine="0"/>
        <w:jc w:val="left"/>
      </w:pPr>
      <w:bookmarkStart w:id="9" w:name="Background"/>
      <w:bookmarkEnd w:id="9"/>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Jan. 4, 1990, Helen Robbins was driving her 1979 Lincoln Town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while Alan L. Whitaker Jr., an employee of Coastal Oil of New York Inc., was driving a 36,000-pound Coastal Oil truck. Due to maladjusted rear brakes, Whitaker was unable to stop the truck. The truck crossed an intersection, struck Robbins auto and overtopped it. Robbins died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.Harold E. Smith, the executor of Robbins s estate, filed an action in the Cumberland County, N.J., Superior Court, Law Division, under New Jersey s Wrongful Death Act and New Jersey s Survivor s Act against Whitaker and Coastal.</w:t>
      </w:r>
    </w:p>
    <w:p>
      <w:pPr>
        <w:keepNext w:val="0"/>
        <w:spacing w:before="120" w:after="0" w:line="260" w:lineRule="atLeast"/>
        <w:ind w:left="0" w:right="0" w:firstLine="0"/>
        <w:jc w:val="left"/>
      </w:pPr>
      <w:bookmarkStart w:id="10" w:name="Other"/>
      <w:bookmarkEnd w:id="10"/>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Coastal challenged the punitive damage verdict on appeal. The state Superior Court Appellate Division affirmed the trial court s entry of judgment.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1996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Harold E. Smith v. Alan L. Whitaker, Jr., et al; 1996 Mealey's Jury Verdicts &amp; Settlements 165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SB9-JYM0-0223-Y1BB-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Harold E. Smith v. Alan L. Whitaker, Jr., et al; 1996 Mealey's Jury Verdicts &amp; Settlements 165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