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Jeryl Lynn Seiler v. Terry Amerman, Antonio Oliveira, Mapp Construction; 2006 Mealey's Jury Verdicts &amp; Settlements 1801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SOM-L-1094-04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Woman Awarded $725,000 For Injuries Suffered In Rear-End Collision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$725,000 plaintiff verdict ($325,000 in future wages, $205,000 for noneconomic damages and $195,000 in back wages)</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Impacted herniated discs at L3-L4 and L4-L5; numerous bulging discs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Somerset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Victor Ashrafi</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Jeryl Lynn Seiler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Terry Amerman, Antonio Oliveira, Mapp Construction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Howard Crane, Koerner &amp; Crane, Hillsborough,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Emery Mishky, Margolis Edelstein, Berkeley Heights,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July 29, 2002, Jeryl Lynn Seiler was stopped at a traffic light on River Road in Bedminster, N.J., when Antonio Oliveira, in a truck two </w:t>
      </w:r>
      <w:r>
        <w:rPr>
          <w:rFonts w:ascii="arial" w:eastAsia="arial" w:hAnsi="arial" w:cs="arial"/>
          <w:b/>
          <w:i/>
          <w:strike w:val="0"/>
          <w:noProof w:val="0"/>
          <w:color w:val="000000"/>
          <w:position w:val="0"/>
          <w:sz w:val="20"/>
          <w:u w:val="single"/>
          <w:vertAlign w:val="baseline"/>
        </w:rPr>
        <w:t>cars</w:t>
      </w:r>
      <w:r>
        <w:rPr>
          <w:rFonts w:ascii="arial" w:eastAsia="arial" w:hAnsi="arial" w:cs="arial"/>
          <w:b w:val="0"/>
          <w:i w:val="0"/>
          <w:strike w:val="0"/>
          <w:noProof w:val="0"/>
          <w:color w:val="000000"/>
          <w:position w:val="0"/>
          <w:sz w:val="20"/>
          <w:u w:val="none"/>
          <w:vertAlign w:val="baseline"/>
        </w:rPr>
        <w:t xml:space="preserve"> behind Seiler's, struck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front of him, driven by Terry Amerman, whose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then struck Seiler's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.Seiler, sources said, suffered impacted herniated discs at L3-L4 and L4-L5 and numerous bulging discs. Sources said Seiler has severe encroachment on the nerves in her back. As a result of the injury, Seiler has not been able to return to work as computer consultant and thus lost her house, sources said. Sources said doctors told Seiler that because her back is in such bad shape, she is not a good candidate for surgery.Seiler sued Amerman, Oliveira and Oliveira's employer Mapp Construction on July 24, 2004, in the Somerset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Amerman was released from the case by summary judgment on Jan. 20, 2006, sources said. Oliveira and Mapp were found fully liable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said.The plaintiff made an offer of judgment of $300,000, and as a result, the jury ruled that the defendants must pay the plaintiff's attorney fees and trial costs, sources said.The trial lasted six days, and the jury deliberated for one day,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Allegations denied; back problems were caused by earlier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Lang, chiropractor, Jenkintown, Pa Allan D. Tiedrich, M.D., physician, Plainfield, N.J. Mary Ann Peterson, M.D., radiologist, Hackensack, N.J</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Melvin Vigman, M.D., radiologist, Summit, N.J. Joseph W. Dryer, M.D., orthopedic surgeon, Millburn,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Jeryl Lynn Seiler v. Terry Amerman, Antonio Oliveira, Mapp Construction; 2006 Mealey's Jury Verdicts &amp; Settlements 1801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V0-DC40-0223-Y2J2-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Jeryl Lynn Seiler v. Terry Amerman, Antonio Oliveira, Mapp Construction; 2006 Mealey's Jury Verdicts &amp; Settlements 1801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