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John Kozarski v. Susan C. Gravenstine, Oksana Shapowlenko, Winisius Silva and Carlius Alves; 2006 Mealey's Jury Verdicts &amp; Settlements 599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BUR-L-003587-03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15,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$665,000 Settlement Reached In Chain-Reaction 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$665,000 settlement ($600,000 from Susan Gravenstine's insurance, $50,000 from Oksana Shapowlenko's insurance and $15,000 from Winisius Silva and Carlius Alves' insurance company)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Burlington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Marie White Ball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Kozarski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Susan C. Gravenstine, Oksana Shapowlenko, Winisius Silva and Carlius Alves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Richard J. Talbot, Law Offices of Andrew A. Ballerini, Cherry Hill,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William J. Marconi, Duncan and Hendershot, Cherry Hill; Thomas Grimm, Margolis Edelstein, Westmont, N.J.; Martin Whitcraft, Sewell,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June 1, 2002, John Kozarski was rear-ended in his vehicle along Route 130 in Cinnaminson, N.J.,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Susan C. Gravenstine. Gravenstine was sent into Kozarski's vehicle after being rear-ended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Winisius Silva and owned by Carlius Alves. The impact of the crash forced Kozarski's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into a vehicle driven by Diane Pestridge and caused Kozarski's face to strike the steering wheel and knock loose the permanent bridge in his mouth, sources said. Sources said Kozarski also suffered a spine injury requiring surgery, a left shoulder injury, herniated discs, bulging discs, erectile dysfunction, rotator cuff injury, post concussion syndrome and spine and lumbar sprains. As a result of the crash, Kozarski sued Gravenstine, Oksana Shapowlenko, Silva and Alves in 2003 in the Burlington County, N.J.,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said Gravenstine said she was going 50 mph when she struck the rear of Kozarski's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Shapowlenko was operating a disabled vehicle in the front of traffic, which helped cause the chain-reaction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sources said.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denied; contributory negligence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John Kozarski v. Susan C. Gravenstine, Oksana Shapowlenko, Winisius Silva and Carlius Alves; 2006 Mealey's Jury Verdicts &amp; Settlements 599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KXM-6360-0223-Y10F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Kozarski v. Susan C. Gravenstine, Oksana Shapowlenko, Winisius Silva and Carlius Alves; 2006 Mealey's Jury Verdicts &amp; Settlements 599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