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Mohammed M. Rahman et al. v. Bobby Dwain Watson et al; 2006 Mealey's Jury Verdicts &amp; Settlements 372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06-00155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Settlement Reached In New Jersey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Case</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Dennis M. Cavanaugh</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Mohammed M. Rahman, Akrama H.W. Rahman</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Bobby Dwain Watson, Covenant Transport Inc</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Alan G. Swetz, Simon, Sarver, Swetz &amp; Jachts, Fairfield,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Theodore M. Schaer, Zarwin, Baum, DeVito, Kaplan, Schaer &amp; Toddy, Marlton,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Carelessness, recklessness</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Mohammed M. Rahman says that on Feb. 6, 2004, he was permanently injured and sustained property damage in an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caused by a truck driven by Bobby Dwain Watson and owned by Covenant Transport Inc. Akrama Rahman was a passenger in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and also was injured. The Rahmans sued in the Passaic County, N.J., Superior Court on Dec. 15, 2005, and the case was removed to the U.S. District Court for the District of New Jersey on Jan. 11, 2006.</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case was settled March 9, 2006, without prejudice. The terms were not disclosed.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as settled available.Document #99-060814-205R.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plaintiff s complaint available.Document #99-060814-206M.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s complaint available.Document #99-060814-207C.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Mohammed M. Rahman et al. v. Bobby Dwain Watson et al; 2006 Mealey's Jury Verdicts &amp; Settlements 372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NT-PBC0-0223-Y0NP-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Mahmoud Agha v. Valerie M. Feiner, et al; 2006 Mealey's Jury Verdicts &amp; Settlements 2308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