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Muhammed Shafique v. Gargaram Ragi; 2007 Mealey's Jury Verdicts &amp; Settlements 3724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BER-L-5704-05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 1,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Man Severely Injured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Settles In State Court For $350,000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$350,000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Left shoulder and lower back injuries, head trauma, which resulted in cognitive disabilities including lack of short-term memory, organizational skills and lack of focus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Bergen Co.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Muhammed Shafique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Gargaram Ragi</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B. Linder, Law Office of Robert B. Linder, Englewood,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Marie Seitz, Heim &amp; Lamastra, Florham Park,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Sept. 12, 2003, around 6: 30 a.m., Muhammed Shafique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south on Union Avenue in Upper Saddle River, N.J., when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Gargaram Ragi was going west on Pleasant Avenue and ignored a stop sign. Ragi, blindsided Shafique and sent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into a tree, sources said.Shafique suffered injuries to his left shoulder and lower back, sources said, as well his head, where he suffered mild traumatic brain injury. Sources said Shafique has short-term memory loss, organizational skills problems and lack of focus but has been able to return to his job as a representative of a wireless company.Shafique sued Ragi on May 2, 2005, in the Bergen County, N.J.,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case was mediated before Harold Braff.There were no offers of settlement, and the case did not go to arbitration, sources said.Chubb Group of Insurance Cos. was Ragi's insurance provider and will pay part of the settlement, sources said.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Muhammed Shafique v. Gargaram Ragi; 2007 Mealey's Jury Verdicts &amp; Settlements 3724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KP-VWJ0-0223-Y1HC-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Muhammed Shafique v. Gargaram Ragi; 2007 Mealey's Jury Verdicts &amp; Settlements 3724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