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Regina N. Gaddis v. William J. Gamblin et al; 2006 Mealey's Jury Verdicts &amp; Settlements 940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06-02702</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 18,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Settlement Reached For New Jersey Driver Struck By Tractor-Trailer On Walt Whitman Bridge</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Joseph H. Rodriguez</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Regina N. Gaddis</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J. Gamblin, Bow-N-Arrow Inc</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Dawn Van Keuren, Goldenberg, Mackler, Sayegh, Mintz, Pfeffer, Bonchi &amp; Gill, Galloway Township,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A. Segal, Rawle &amp; Henderson, Marlton,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May 20, 2004, Regina N. Gaddis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west on the Walt Whitman Bridge, preparing to leave the State of New Jersey, when she was struck from behind by a tractor-trailer driven by William J. Gamblin and owned by Bow-N-Arrow Inc. Gaddis was injured in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.Gaddis initially sued Gamblin on May 8, 2006, in the Atlantic County, N.J., Superior Court, and the case was removed to the U.S. District Court for the District of New Jersey on June 15, 2006.</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announced, and the case was dismissed without prejudice.</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#99-061016-201R.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#99-061016-202M.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#99-061016-203C.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Regina N. Gaddis v. William J. Gamblin et al; 2006 Mealey's Jury Verdicts &amp; Settlements 940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6G-XFJ0-0223-Y1DV-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Regina N. Gaddis v. William J. Gamblin et al; 2006 Mealey's Jury Verdicts &amp; Settlements 940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