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Shaunna F. Farley v. Geraldine L. Penzone; 2006 Mealey's Jury Verdicts &amp; Settlements 368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05-00920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10,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New Jersey Rear-End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Mary L. Cooper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Shaunna F. Farley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Geraldine L. Penzone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S. Curtis Seifert, Trenton,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J. McLaughlin, McLaughlin &amp; Cooper, Trenton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Negligence, carelessness and recklessness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Shaunna F. Farley says she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July 30, 2004, in Ewing Township, N.J., when she stopped for traffic = and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Geraldine L. Penzone. Farley suffered injuries, including a post-traumatic concussion, cervicothoracic sprain and strain, dorsal sprain, lumbar spine and S1 joint injury on her right side. Farley says that 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she has or may suffer a severe loss of earnings and an impairment of her earning capacity and power. Farley sued Penzone in U.S. District Court for the District of New Jersey on Feb. 16, 2005.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case was settled without prejudice on July 10, 2006. Terms were not disclosed.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#99-060814-201R.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Request for trial de novo available.Document #99-060814-202M.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plaintiff s complaint available.Document #99-060814-203M.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s complaint available.Document #99-060814-204C.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Shaunna F. Farley v. Geraldine L. Penzone; 2006 Mealey's Jury Verdicts &amp; Settlements 368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NT-PBB0-0223-Y0NJ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Shaunna F. Farley v. Geraldine L. Penzone; 2006 Mealey's Jury Verdicts &amp; Settlements 368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