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Stanley Majocha v. New Jersey Manufacturers Insurance Co., et al; 2007 Mealey's Jury Verdicts &amp; Settlements 2344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UNN-L-3206-05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31,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Motorist Settles Uninsured Motorist Claim In New Jersey State Court For $250,000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$250,000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Herniated discs at L4-5 and L5-S1</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Union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Marianne Espinosa</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Stanley Majocha</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New Jersey Manufacturers Insurance Co., Selective Insurance Group Inc</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Victor J. Horowitz, Law Office of Victor J. Horowitz, Piscataway,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Selective Insurance - Louis J. DeMille Jr., Romando, Astorino &amp; DeMille, Hamilton, N.J. For NJM - Daniel J. Pomeroy, Mortenson and Pomeroy, Springfield,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Underinsured motorist claim</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Nov. 20, 2001, Stanley Majocha was driving a commercial van on U.S. Route 27 near the intersection with New Dover Road in Colonia, N.J., when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that was out of control; the impact caused Majocha's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flip over.Sources said Majocha claimed that he suffered herniated discs at L4-5 and L5-S1. Sources said for the first two years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Majocha had few back problems because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However, in 2003 sources said Majocha resumed treatment with a chiropractor and pain management doctor.The injuries also caused Majocha to give up his lucrative cabinet-making business because he could no longer lift wood or make deliveries, sources said. Before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Majocha claimed that he made more than $500,000 a year, but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his income fell to about $12,000.Sources said there was no dispute on liability because the underlying claim was settled for $15,000 with the other driver's insurance company, Prudential. Instead, sources said Majocha filed an underinsured motorist claim with his own carrier, New Jersey Manufacturers Insurance Co. (NJM), and the insurance carrier for the commercial van, Selective Insurance Group Inc. Sources said both carriers rejected Majocha's claims.Majocha sued NJM and Selective Insurance on Sept. 2, 2005, in the Union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Of the settlement, Selective Insurance paid $200,000 and NJM contributed $50,000, sources said.Sources said a nonbinding arbitration award of $330,000 was granted but rejected by NJM and Selective Insurance. NJM had demanded a trial de novo from the arbitration award and was able to save about $75,000 of its pro rata share of the settlement by taking the case to court,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Majocha not as injured as claimed.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Marvin E. Friedlander M.D., orthopedist, Union, N.J. (expected to be called if case went to trial) Edmond A. Provder, vocational rehabilitation expert, New York (expected to be called if case went to trial)</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J. Bercik, M.D., orthopedic surgeon, Elizabeth, N.J. (expected to be called if case went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Stanley Majocha v. New Jersey Manufacturers Insurance Co., et al; 2007 Mealey's Jury Verdicts &amp; Settlements 2344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3K-J120-0223-Y113-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Stanley Majocha v. New Jersey Manufacturers Insurance Co., et al; 2007 Mealey's Jury Verdicts &amp; Settlements 2344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