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Timothy J. McPherson, Darcy McPherson v. Kevin J. Jakim; 2006 Mealey's Jury Verdicts &amp; Settlements 1493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BUR-L-2978-04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 4,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Defense Verdict Issued In New Jersey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Defense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Herniated discs at L4-5 and C5-6; bulging disc at C3-4</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Burlington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Michael J. Hogan</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Timothy J. McPherson, Darcy McPherson</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Kevin J. Jakim</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Stopper, Aronberg &amp; Kouser, Cherry Hill,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Anthony Young, Parker McCay, Marlton,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Jan. 9, 2004, Timothy J. McPherson was in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and was stopped at red light on Route 130 in Delran, N.J., when he was rear-ended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Kevin J. Jakim. McPherson suffered herniated discs at L4-5 and C5-6 and a bulging disc at C3-4, sources said.McPherson and his wife, Darcy, sued Jakim on Oct. 25, 2004, in the Burlington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Jakim conceded liability and the trial was for damages only.The trial lasted three days, and the jury deliberated for two hours, sources said. Sources said an arbitration award of $37,000 was rejected by the defendant.Sources said McPherson claimed to have missed three months' wages because of his injuries.</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Liability admitted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Lawrence Barr, M.D., orthopedic surgeon, Cherry Hill, N.J. John Sinibaldi, chiropractor, Delran, N.J</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Irving P. Ratner, M.D., orthopedist, Burlington, N.J. Scott Sharetts, M.D., Willingboro, N.J</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Timothy J. McPherson, Darcy McPherson v. Kevin J. Jakim; 2006 Mealey's Jury Verdicts &amp; Settlements 1493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JR-SB30-0223-Y24T-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Timothy J. McPherson, Darcy McPherson v. Kevin J. Jakim; 2006 Mealey's Jury Verdicts &amp; Settlements 1493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