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Zahid Khan v. Dad's Daily Auction Inc., Mohammad Sasdar; 2006 Mealey's Jury Verdicts &amp; Settlements 1286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BUR-L-3561-03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Oct. 27,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$850,000 Settlement Reached In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Collision with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Carrier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$850,000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Burlington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Robert O'Hagan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Zahid Khan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Dad's Daily Auction Inc., Mohammad Sasdar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Louis DeVoto, Rossetti &amp; DeVoto, Cherry Hill,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Wagner, Law Offices of Thomas Wagner, Swedesboro, N.J., Thomas Griffin, Litvak &amp; Trifiolis, Cedar Knolls,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July 25, 2002, Zahid Khan was riding in the back seat of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Mohammad Sasdar as it traveled along Route 206 in Burlington County, N.J., when Sasdar's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struck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carrier owned by Dad's Daily Auction Inc. from behind. Sources said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carrier was towing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the time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.Sources said Sasdar claimed that the towed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became detached from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carrier and struck his vehicle. Sources said Dad's Daily Auction Inc. claimed, and police reports indicate, that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did not become detached and that Sasdar's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just struck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carrier from behind.Sources said Khan suffered internal injuries and traumatic brain injuries, which included a lacerated lip and a nasal fracture, and he suffers from short-term memory loss and has no sense of smell or taste. Khan underwent a craniotomy, sources said, and has been unable to return to his job as a taxi driver in Leeds, England.Khan sued Dad's Daily Auction Inc. and Mohammad Sasdar on Dec. 8, 2003, in Burlington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Sources said Dad's Daily Auction Inc.'s insurance carrier Lincoln General Insurance Co. will pay $750,000 of the settlement, and Sasdar's insurance company, OneBeacon Insurance Co, will pay the $100,000 policy limit.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4" w:name="Plaintiff Expert(s)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Fawzi Byan, conspicuity expert, Annapolis, Md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Defendant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Meyer, engineer, Edison, N.J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Zahid Khan v. Dad's Daily Auction Inc., Mohammad Sasdar; 2006 Mealey's Jury Verdicts &amp; Settlements 1286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BJ-HKW0-0223-Y1W9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Zahid Khan v. Dad's Daily Auction Inc., Mohammad Sasdar; 2006 Mealey's Jury Verdicts &amp; Settlements 1286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