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Manicures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Xpress Manicure … $19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Signature Manicure … $24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 Manicure … $36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Xpress Shellac Manicure … $29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CND Shellac Manicure … $34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Kids Manicure … $15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Pedicures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Xpress Pedicure … $30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Signature Pedicure … $40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 Pedicure … $50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Kids Pedicure … $20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Brow Design … $12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Upper Lip … $5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Chin … $10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 Burns … $10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Face … $35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Nose Wax … $12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Tweezing Brow Design ... $25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Bikini Wax … $25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Inbetweeni Bikini … $35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Brazilian … $45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Underarm … $18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Half Arm … $18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Arm … $30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Half Leg … $28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Leg … $55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Derrière … $25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Chest … $25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Back … $40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Stomach … $18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Feet and Toes … $12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Facials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Xpress Facial … $45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Signature Facial … $70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Deluxe Facial … $90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Eyebrow Wax Package (5) … $50  (10) … $95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Brazilian Wax Package (5) … $195 (10) … $375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Shellac Manicure Package (5) … $155 (10) … $295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Signature Manicure Package (5) … $100 (10) … $190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