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
        <w:jc w:val="center"/>
      </w:pPr>
      <w:r>
        <w:rPr>
          <w:b/>
          <w:bCs/>
          <w:color w:val="1F4E8C"/>
          <w:sz w:val="104"/>
          <w:szCs w:val="104"/>
          <w:rFonts w:ascii="Arial" w:cs="Arial" w:eastAsia="Arial" w:hAnsi="Arial"/>
        </w:rPr>
        <w:t xml:space="preserve">Requirements Specification Document</w:t>
      </w:r>
    </w:p>
    <w:p>
      <w:pPr>
        <w:pBdr>
          <w:bottom w:val="single" w:color="2E6DB4" w:sz="8" w:space="8"/>
        </w:pBdr>
        <w:spacing w:after="300"/>
        <w:jc w:val="center"/>
      </w:pPr>
      <w:r>
        <w:rPr>
          <w:i/>
          <w:iCs/>
          <w:color w:val="444444"/>
          <w:sz w:val="56"/>
          <w:szCs w:val="56"/>
          <w:rFonts w:ascii="Arial" w:cs="Arial" w:eastAsia="Arial" w:hAnsi="Arial"/>
        </w:rPr>
        <w:t xml:space="preserve">Rwanda NBSAP Monitoring Dashboard 2025-2030</w:t>
      </w:r>
    </w:p>
    <w:p>
      <w:pPr>
        <w:spacing w:after="300"/>
      </w:pPr>
      <w:r>
        <w:rPr>
          <w:sz w:val="2"/>
          <w:szCs w:val="2"/>
        </w:rPr>
      </w:r>
    </w:p>
    <w:p>
      <w:pPr>
        <w:spacing w:after="80"/>
        <w:jc w:val="center"/>
      </w:pPr>
      <w:r>
        <w:rPr>
          <w:color w:val="444444"/>
          <w:sz w:val="22"/>
          <w:szCs w:val="22"/>
          <w:rFonts w:ascii="Arial" w:cs="Arial" w:eastAsia="Arial" w:hAnsi="Arial"/>
        </w:rPr>
        <w:t xml:space="preserve">Document Reference: NBSAP-RSD-2026-002</w:t>
      </w:r>
    </w:p>
    <w:p>
      <w:pPr>
        <w:spacing w:after="80"/>
        <w:jc w:val="center"/>
      </w:pPr>
      <w:r>
        <w:rPr>
          <w:color w:val="444444"/>
          <w:sz w:val="22"/>
          <w:szCs w:val="22"/>
          <w:rFonts w:ascii="Arial" w:cs="Arial" w:eastAsia="Arial" w:hAnsi="Arial"/>
        </w:rPr>
        <w:t xml:space="preserve">Version: 1.0</w:t>
      </w:r>
    </w:p>
    <w:p>
      <w:pPr>
        <w:spacing w:after="80"/>
        <w:jc w:val="center"/>
      </w:pPr>
      <w:r>
        <w:rPr>
          <w:color w:val="444444"/>
          <w:sz w:val="22"/>
          <w:szCs w:val="22"/>
          <w:rFonts w:ascii="Arial" w:cs="Arial" w:eastAsia="Arial" w:hAnsi="Arial"/>
        </w:rPr>
        <w:t xml:space="preserve">Date: 20 June 2026</w:t>
      </w:r>
    </w:p>
    <w:p>
      <w:pPr>
        <w:spacing w:after="80"/>
        <w:jc w:val="center"/>
      </w:pPr>
      <w:r>
        <w:rPr>
          <w:color w:val="444444"/>
          <w:sz w:val="22"/>
          <w:szCs w:val="22"/>
          <w:rFonts w:ascii="Arial" w:cs="Arial" w:eastAsia="Arial" w:hAnsi="Arial"/>
        </w:rPr>
        <w:t xml:space="preserve">Prepared by: Joe Karanga</w:t>
      </w:r>
    </w:p>
    <w:p>
      <w:pPr>
        <w:spacing w:after="80"/>
        <w:jc w:val="center"/>
      </w:pPr>
      <w:r>
        <w:rPr>
          <w:color w:val="444444"/>
          <w:sz w:val="22"/>
          <w:szCs w:val="22"/>
          <w:rFonts w:ascii="Arial" w:cs="Arial" w:eastAsia="Arial" w:hAnsi="Arial"/>
        </w:rPr>
        <w:t xml:space="preserve">Status: Draft</w:t>
      </w:r>
    </w:p>
    <w:p>
      <w:pPr>
        <w:spacing w:after="80"/>
        <w:jc w:val="center"/>
      </w:pPr>
      <w:r>
        <w:rPr>
          <w:color w:val="444444"/>
          <w:sz w:val="22"/>
          <w:szCs w:val="22"/>
          <w:rFonts w:ascii="Arial" w:cs="Arial" w:eastAsia="Arial" w:hAnsi="Arial"/>
        </w:rPr>
        <w:t xml:space="preserve">Classification: Confidential — REMA Internal Use</w:t>
      </w:r>
    </w:p>
    <w:p>
      <w:r>
        <w:br w:type="page"/>
      </w:r>
    </w:p>
    <w:p>
      <w:pPr>
        <w:pStyle w:val="Heading1"/>
      </w:pPr>
      <w:r>
        <w:t xml:space="preserve">1. Introduction</w:t>
      </w:r>
    </w:p>
    <w:p>
      <w:pPr>
        <w:pStyle w:val="Heading2"/>
      </w:pPr>
      <w:r>
        <w:t xml:space="preserve">1.1 Purpose</w:t>
      </w:r>
    </w:p>
    <w:p>
      <w:pPr>
        <w:spacing w:after="120" w:line="300"/>
      </w:pPr>
      <w:r>
        <w:rPr>
          <w:b w:val="false"/>
          <w:bCs w:val="false"/>
          <w:i w:val="false"/>
          <w:iCs w:val="false"/>
          <w:color w:val="000000"/>
          <w:sz w:val="22"/>
          <w:szCs w:val="22"/>
          <w:rFonts w:ascii="Arial" w:cs="Arial" w:eastAsia="Arial" w:hAnsi="Arial"/>
        </w:rPr>
        <w:t xml:space="preserve">This Requirements Specification (RS) document defines the functional and non-functional requirements for the Rwanda NBSAP Monitoring Dashboard, the national digital platform used by the Rwanda Environment Management Authority (REMA) to track progress against Rwanda's 22 National Biodiversity Strategy and Action Plan (NBSAP) 2025-2030 targets. It is the authoritative reference for system capabilities, acceptance criteria, and stakeholder expectations, and is used by REMA management, lead government ministries, system developers, and government ICT auditors to confirm that the delivered system meets agreed requirements before and after deployment.</w:t>
      </w:r>
    </w:p>
    <w:p>
      <w:pPr>
        <w:pStyle w:val="Heading2"/>
      </w:pPr>
      <w:r>
        <w:t xml:space="preserve">1.2 Scope</w:t>
      </w:r>
    </w:p>
    <w:p>
      <w:pPr>
        <w:spacing w:after="120" w:line="300"/>
      </w:pPr>
      <w:r>
        <w:rPr>
          <w:b w:val="false"/>
          <w:bCs w:val="false"/>
          <w:i w:val="false"/>
          <w:iCs w:val="false"/>
          <w:color w:val="000000"/>
          <w:sz w:val="22"/>
          <w:szCs w:val="22"/>
          <w:rFonts w:ascii="Arial" w:cs="Arial" w:eastAsia="Arial" w:hAnsi="Arial"/>
        </w:rPr>
        <w:t xml:space="preserve">This document covers all modules of the NBSAP Monitoring Dashboard: user authentication and role-based access control; the seven-tool reporting toolkit (T01-T07); the data verification and approval queue; automated national metric computation; the executive dashboard and 22-target progress monitoring; the geographic information system (GIS) map of Rwanda's 30 districts; data export and Convention on Biological Diversity (CBD) reporting; the audit log; risk and compliance management; and user/role administration. It excludes third-party systems that the platform integrates with (GBIF, RBIS, Supabase Cloud) except where their interfaces directly affect NBSAP Dashboard behaviour.</w:t>
      </w:r>
    </w:p>
    <w:p>
      <w:pPr>
        <w:pStyle w:val="Heading2"/>
      </w:pPr>
      <w:r>
        <w:t xml:space="preserve">1.3 Definitions &amp;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Term / Acronym</w:t>
            </w:r>
          </w:p>
        </w:tc>
        <w:tc>
          <w:tcPr>
            <w:tcW w:type="dxa" w:w="66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Definition</w:t>
            </w:r>
          </w:p>
        </w:tc>
      </w:tr>
      <w:tr>
        <w:tc>
          <w:tcPr>
            <w:tcW w:type="dxa" w:w="27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RS</w:t>
            </w:r>
          </w:p>
        </w:tc>
        <w:tc>
          <w:tcPr>
            <w:tcW w:type="dxa" w:w="66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Requirements Specification — this document, defining what the system must do</w:t>
            </w:r>
          </w:p>
        </w:tc>
      </w:tr>
      <w:tr>
        <w:tc>
          <w:tcPr>
            <w:tcW w:type="dxa" w:w="27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FR</w:t>
            </w:r>
          </w:p>
        </w:tc>
        <w:tc>
          <w:tcPr>
            <w:tcW w:type="dxa" w:w="66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Functional Requirement — a capability the system must provide</w:t>
            </w:r>
          </w:p>
        </w:tc>
      </w:tr>
      <w:tr>
        <w:tc>
          <w:tcPr>
            <w:tcW w:type="dxa" w:w="27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NFR</w:t>
            </w:r>
          </w:p>
        </w:tc>
        <w:tc>
          <w:tcPr>
            <w:tcW w:type="dxa" w:w="66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Non-Functional Requirement — a quality attribute (performance, security, availability)</w:t>
            </w:r>
          </w:p>
        </w:tc>
      </w:tr>
      <w:tr>
        <w:tc>
          <w:tcPr>
            <w:tcW w:type="dxa" w:w="27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BR</w:t>
            </w:r>
          </w:p>
        </w:tc>
        <w:tc>
          <w:tcPr>
            <w:tcW w:type="dxa" w:w="66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Business Rule — a constraint or policy the system must enforce</w:t>
            </w:r>
          </w:p>
        </w:tc>
      </w:tr>
      <w:tr>
        <w:tc>
          <w:tcPr>
            <w:tcW w:type="dxa" w:w="27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RBAC</w:t>
            </w:r>
          </w:p>
        </w:tc>
        <w:tc>
          <w:tcPr>
            <w:tcW w:type="dxa" w:w="66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Role-Based Access Control — restricting system actions based on assigned user role</w:t>
            </w:r>
          </w:p>
        </w:tc>
      </w:tr>
      <w:tr>
        <w:tc>
          <w:tcPr>
            <w:tcW w:type="dxa" w:w="27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API</w:t>
            </w:r>
          </w:p>
        </w:tc>
        <w:tc>
          <w:tcPr>
            <w:tcW w:type="dxa" w:w="66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Application Programming Interface — a defined interface for system-to-system communication</w:t>
            </w:r>
          </w:p>
        </w:tc>
      </w:tr>
      <w:tr>
        <w:tc>
          <w:tcPr>
            <w:tcW w:type="dxa" w:w="27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CRUD</w:t>
            </w:r>
          </w:p>
        </w:tc>
        <w:tc>
          <w:tcPr>
            <w:tcW w:type="dxa" w:w="66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Create, Read, Update, Delete — the four basic data operations</w:t>
            </w:r>
          </w:p>
        </w:tc>
      </w:tr>
      <w:tr>
        <w:tc>
          <w:tcPr>
            <w:tcW w:type="dxa" w:w="27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SLA</w:t>
            </w:r>
          </w:p>
        </w:tc>
        <w:tc>
          <w:tcPr>
            <w:tcW w:type="dxa" w:w="66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Service Level Agreement — a committed target for performance or availability</w:t>
            </w:r>
          </w:p>
        </w:tc>
      </w:tr>
      <w:tr>
        <w:tc>
          <w:tcPr>
            <w:tcW w:type="dxa" w:w="27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NBSAP</w:t>
            </w:r>
          </w:p>
        </w:tc>
        <w:tc>
          <w:tcPr>
            <w:tcW w:type="dxa" w:w="66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National Biodiversity Strategy and Action Plan 2025-2030 (Rwanda)</w:t>
            </w:r>
          </w:p>
        </w:tc>
      </w:tr>
      <w:tr>
        <w:tc>
          <w:tcPr>
            <w:tcW w:type="dxa" w:w="27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KM-GBF</w:t>
            </w:r>
          </w:p>
        </w:tc>
        <w:tc>
          <w:tcPr>
            <w:tcW w:type="dxa" w:w="66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Kunming-Montreal Global Biodiversity Framework — the 2022 international framework of 23 global targets that Rwanda's 22 national targets are mapped to</w:t>
            </w:r>
          </w:p>
        </w:tc>
      </w:tr>
      <w:tr>
        <w:tc>
          <w:tcPr>
            <w:tcW w:type="dxa" w:w="27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CBD</w:t>
            </w:r>
          </w:p>
        </w:tc>
        <w:tc>
          <w:tcPr>
            <w:tcW w:type="dxa" w:w="66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Convention on Biological Diversity — the international treaty under which Rwanda reports progress</w:t>
            </w:r>
          </w:p>
        </w:tc>
      </w:tr>
      <w:tr>
        <w:tc>
          <w:tcPr>
            <w:tcW w:type="dxa" w:w="27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RLS</w:t>
            </w:r>
          </w:p>
        </w:tc>
        <w:tc>
          <w:tcPr>
            <w:tcW w:type="dxa" w:w="66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Row-Level Security — PostgreSQL feature enforcing data access rules at the database layer</w:t>
            </w:r>
          </w:p>
        </w:tc>
      </w:tr>
      <w:tr>
        <w:tc>
          <w:tcPr>
            <w:tcW w:type="dxa" w:w="27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REMA</w:t>
            </w:r>
          </w:p>
        </w:tc>
        <w:tc>
          <w:tcPr>
            <w:tcW w:type="dxa" w:w="66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Rwanda Environment Management Authority — the system owner and lead administering agency</w:t>
            </w:r>
          </w:p>
        </w:tc>
      </w:tr>
      <w:tr>
        <w:tc>
          <w:tcPr>
            <w:tcW w:type="dxa" w:w="27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T01-T07</w:t>
            </w:r>
          </w:p>
        </w:tc>
        <w:tc>
          <w:tcPr>
            <w:tcW w:type="dxa" w:w="66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The seven structured reporting tools covering institutional, ecosystem, protected area, human-wildlife conflict, finance, EIA compliance, and community engagement data</w:t>
            </w:r>
          </w:p>
        </w:tc>
      </w:tr>
    </w:tbl>
    <w:p>
      <w:pPr>
        <w:pStyle w:val="Heading2"/>
      </w:pPr>
      <w:r>
        <w:t xml:space="preserve">1.4 Document Conventions</w:t>
      </w:r>
    </w:p>
    <w:p>
      <w:pPr>
        <w:spacing w:after="120" w:line="300"/>
      </w:pPr>
      <w:r>
        <w:rPr>
          <w:b w:val="false"/>
          <w:bCs w:val="false"/>
          <w:i w:val="false"/>
          <w:iCs w:val="false"/>
          <w:color w:val="000000"/>
          <w:sz w:val="22"/>
          <w:szCs w:val="22"/>
          <w:rFonts w:ascii="Arial" w:cs="Arial" w:eastAsia="Arial" w:hAnsi="Arial"/>
        </w:rPr>
        <w:t xml:space="preserve">Requirements in this document are identified using the naming format [TYPE-XXX] or [TYPE-CATEGORY-XX], where TYPE indicates the requirement class (FR for functional, NFR for non-functional, BR for business rule) and the numeric suffix is a unique sequential identifier within that category, for example FR-AUTH-01 or NFR-SEC-03. Priority is expressed using MoSCoW terms: Must Have, Should Have, Could Have, Won't Have (this release). Every requirement in this document is traceable to a corresponding test case in the project's acceptance test plan.</w:t>
      </w:r>
    </w:p>
    <w:p>
      <w:pPr>
        <w:pStyle w:val="Heading2"/>
      </w:pPr>
      <w:r>
        <w:t xml:space="preserve">1.5 Regulatory Context</w:t>
      </w:r>
    </w:p>
    <w:p>
      <w:pPr>
        <w:spacing w:after="120" w:line="300"/>
      </w:pPr>
      <w:r>
        <w:rPr>
          <w:b w:val="false"/>
          <w:bCs w:val="false"/>
          <w:i w:val="false"/>
          <w:iCs w:val="false"/>
          <w:color w:val="000000"/>
          <w:sz w:val="22"/>
          <w:szCs w:val="22"/>
          <w:rFonts w:ascii="Arial" w:cs="Arial" w:eastAsia="Arial" w:hAnsi="Arial"/>
        </w:rPr>
        <w:t xml:space="preserve">The system operates within, and is designed to actively support, the following national and international frameworks.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Framework</w:t>
            </w:r>
          </w:p>
        </w:tc>
        <w:tc>
          <w:tcPr>
            <w:tcW w:type="dxa" w:w="55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Relevance</w:t>
            </w:r>
          </w:p>
        </w:tc>
      </w:tr>
      <w:tr>
        <w:tc>
          <w:tcPr>
            <w:tcW w:type="dxa" w:w="3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Convention on Biological Diversity (CBD)</w:t>
            </w:r>
          </w:p>
        </w:tc>
        <w:tc>
          <w:tcPr>
            <w:tcW w:type="dxa" w:w="55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Rwanda is a signatory; the system supports National Report preparation and structured data export for CBD submission</w:t>
            </w:r>
          </w:p>
        </w:tc>
      </w:tr>
      <w:tr>
        <w:tc>
          <w:tcPr>
            <w:tcW w:type="dxa" w:w="3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Kunming-Montreal Global Biodiversity Framework (2022)</w:t>
            </w:r>
          </w:p>
        </w:tc>
        <w:tc>
          <w:tcPr>
            <w:tcW w:type="dxa" w:w="55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23 global targets; Rwanda's 22 national NBSAP targets are mapped to these and organised by 4 KM-GBF Goals (A-D)</w:t>
            </w:r>
          </w:p>
        </w:tc>
      </w:tr>
      <w:tr>
        <w:tc>
          <w:tcPr>
            <w:tcW w:type="dxa" w:w="3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Rwanda NBSAP 2025-2030</w:t>
            </w:r>
          </w:p>
        </w:tc>
        <w:tc>
          <w:tcPr>
            <w:tcW w:type="dxa" w:w="55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The system's primary policy instrument; all 22 targets and ~80 indicators are drawn directly from this strategy</w:t>
            </w:r>
          </w:p>
        </w:tc>
      </w:tr>
      <w:tr>
        <w:tc>
          <w:tcPr>
            <w:tcW w:type="dxa" w:w="3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Rwanda ICT Policy</w:t>
            </w:r>
          </w:p>
        </w:tc>
        <w:tc>
          <w:tcPr>
            <w:tcW w:type="dxa" w:w="55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The system aligns with national digital government transformation objectives</w:t>
            </w:r>
          </w:p>
        </w:tc>
      </w:tr>
      <w:tr>
        <w:tc>
          <w:tcPr>
            <w:tcW w:type="dxa" w:w="3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Rwanda Data Protection Law (2021)</w:t>
            </w:r>
          </w:p>
        </w:tc>
        <w:tc>
          <w:tcPr>
            <w:tcW w:type="dxa" w:w="55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User data handling, retention, and access control comply with national data protection requirements</w:t>
            </w:r>
          </w:p>
        </w:tc>
      </w:tr>
    </w:tbl>
    <w:p>
      <w:pPr>
        <w:pStyle w:val="Heading2"/>
      </w:pPr>
      <w:r>
        <w:t xml:space="preserve">1.6 Stakeholder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60"/>
        <w:gridCol w:w="3700"/>
      </w:tblGrid>
      <w:tr>
        <w:trPr>
          <w:tblHeader/>
        </w:trPr>
        <w:tc>
          <w:tcPr>
            <w:tcW w:type="dxa" w:w="24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Stakeholder</w:t>
            </w:r>
          </w:p>
        </w:tc>
        <w:tc>
          <w:tcPr>
            <w:tcW w:type="dxa" w:w="32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Role in System</w:t>
            </w:r>
          </w:p>
        </w:tc>
        <w:tc>
          <w:tcPr>
            <w:tcW w:type="dxa" w:w="37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Key Needs</w:t>
            </w:r>
          </w:p>
        </w:tc>
      </w:tr>
      <w:tr>
        <w:tc>
          <w:tcPr>
            <w:tcW w:type="dxa" w:w="2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REMA</w:t>
            </w:r>
          </w:p>
        </w:tc>
        <w:tc>
          <w:tcPr>
            <w:tcW w:type="dxa" w:w="32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System owner, administrator</w:t>
            </w:r>
          </w:p>
        </w:tc>
        <w:tc>
          <w:tcPr>
            <w:tcW w:type="dxa" w:w="37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Full oversight, data verification, user management, CBD reporting</w:t>
            </w:r>
          </w:p>
        </w:tc>
      </w:tr>
      <w:tr>
        <w:tc>
          <w:tcPr>
            <w:tcW w:type="dxa" w:w="2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Lead Government Ministries</w:t>
            </w:r>
          </w:p>
        </w:tc>
        <w:tc>
          <w:tcPr>
            <w:tcW w:type="dxa" w:w="32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Data providers (T01-T07 reports)</w:t>
            </w:r>
          </w:p>
        </w:tc>
        <w:tc>
          <w:tcPr>
            <w:tcW w:type="dxa" w:w="37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Structured reporting tools, verification feedback, analytics</w:t>
            </w:r>
          </w:p>
        </w:tc>
      </w:tr>
      <w:tr>
        <w:tc>
          <w:tcPr>
            <w:tcW w:type="dxa" w:w="2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District Reporting Officers</w:t>
            </w:r>
          </w:p>
        </w:tc>
        <w:tc>
          <w:tcPr>
            <w:tcW w:type="dxa" w:w="32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Field-level data entry</w:t>
            </w:r>
          </w:p>
        </w:tc>
        <w:tc>
          <w:tcPr>
            <w:tcW w:type="dxa" w:w="37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Simple forms, evidence upload, submission tracking</w:t>
            </w:r>
          </w:p>
        </w:tc>
      </w:tr>
      <w:tr>
        <w:tc>
          <w:tcPr>
            <w:tcW w:type="dxa" w:w="2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Policy Monitors</w:t>
            </w:r>
          </w:p>
        </w:tc>
        <w:tc>
          <w:tcPr>
            <w:tcW w:type="dxa" w:w="32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Strategic oversight</w:t>
            </w:r>
          </w:p>
        </w:tc>
        <w:tc>
          <w:tcPr>
            <w:tcW w:type="dxa" w:w="37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Read-only dashboards, national progress summaries</w:t>
            </w:r>
          </w:p>
        </w:tc>
      </w:tr>
      <w:tr>
        <w:tc>
          <w:tcPr>
            <w:tcW w:type="dxa" w:w="2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Development Partners</w:t>
            </w:r>
          </w:p>
        </w:tc>
        <w:tc>
          <w:tcPr>
            <w:tcW w:type="dxa" w:w="32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Programme alignment</w:t>
            </w:r>
          </w:p>
        </w:tc>
        <w:tc>
          <w:tcPr>
            <w:tcW w:type="dxa" w:w="37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Analytical views, indicator data access</w:t>
            </w:r>
          </w:p>
        </w:tc>
      </w:tr>
      <w:tr>
        <w:tc>
          <w:tcPr>
            <w:tcW w:type="dxa" w:w="2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General Public</w:t>
            </w:r>
          </w:p>
        </w:tc>
        <w:tc>
          <w:tcPr>
            <w:tcW w:type="dxa" w:w="32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Transparency audience</w:t>
            </w:r>
          </w:p>
        </w:tc>
        <w:tc>
          <w:tcPr>
            <w:tcW w:type="dxa" w:w="37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View-only access to dashboards and maps</w:t>
            </w:r>
          </w:p>
        </w:tc>
      </w:tr>
      <w:tr>
        <w:tc>
          <w:tcPr>
            <w:tcW w:type="dxa" w:w="2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CBD Secretariat</w:t>
            </w:r>
          </w:p>
        </w:tc>
        <w:tc>
          <w:tcPr>
            <w:tcW w:type="dxa" w:w="32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International reporting body</w:t>
            </w:r>
          </w:p>
        </w:tc>
        <w:tc>
          <w:tcPr>
            <w:tcW w:type="dxa" w:w="37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Structured indicator data in exportable formats</w:t>
            </w:r>
          </w:p>
        </w:tc>
      </w:tr>
    </w:tbl>
    <w:p>
      <w:pPr>
        <w:pStyle w:val="Heading2"/>
      </w:pPr>
      <w:r>
        <w:t xml:space="preserve">1.7 Stakeholder Interaction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B4" w:sz="4"/>
              <w:left w:val="single" w:color="2E6DB4" w:sz="4"/>
              <w:bottom w:val="single" w:color="2E6DB4" w:sz="4"/>
              <w:right w:val="single" w:color="2E6DB4" w:sz="4"/>
            </w:tcBorders>
            <w:shd w:fill="D6E4F7" w:color="auto" w:val="clear"/>
            <w:tcMar>
              <w:top w:type="dxa" w:w="160"/>
              <w:left w:type="dxa" w:w="200"/>
              <w:bottom w:type="dxa" w:w="160"/>
              <w:right w:type="dxa" w:w="200"/>
            </w:tcMar>
          </w:tcPr>
          <w:p>
            <w:pPr>
              <w:spacing w:after="0"/>
            </w:pPr>
            <w:r>
              <w:rPr>
                <w:color w:val="444444"/>
                <w:sz w:val="16"/>
                <w:szCs w:val="16"/>
                <w:rFonts w:ascii="Courier New" w:cs="Courier New" w:eastAsia="Courier New" w:hAnsi="Courier New"/>
              </w:rPr>
              <w:t xml:space="preserve">CBD Secretariat  &lt;--- Export (CSV/PDF/JSON) &lt;--- REMA Administrators</w:t>
            </w:r>
          </w:p>
          <w:p>
            <w:pPr>
              <w:spacing w:after="0"/>
            </w:pPr>
            <w:r>
              <w:rPr>
                <w:color w:val="444444"/>
                <w:sz w:val="16"/>
                <w:szCs w:val="16"/>
                <w:rFonts w:ascii="Courier New" w:cs="Courier New" w:eastAsia="Courier New" w:hAnsi="Courier New"/>
              </w:rPr>
              <w:t xml:space="preserve">                                                        ^</w:t>
            </w:r>
          </w:p>
          <w:p>
            <w:pPr>
              <w:spacing w:after="0"/>
            </w:pPr>
            <w:r>
              <w:rPr>
                <w:color w:val="444444"/>
                <w:sz w:val="16"/>
                <w:szCs w:val="16"/>
                <w:rFonts w:ascii="Courier New" w:cs="Courier New" w:eastAsia="Courier New" w:hAnsi="Courier New"/>
              </w:rPr>
              <w:t xml:space="preserve">                                                  Verify &amp; Approve</w:t>
            </w:r>
          </w:p>
          <w:p>
            <w:pPr>
              <w:spacing w:after="0"/>
            </w:pPr>
            <w:r>
              <w:rPr>
                <w:color w:val="444444"/>
                <w:sz w:val="16"/>
                <w:szCs w:val="16"/>
                <w:rFonts w:ascii="Courier New" w:cs="Courier New" w:eastAsia="Courier New" w:hAnsi="Courier New"/>
              </w:rPr>
              <w:t xml:space="preserve">                                                        ^</w:t>
            </w:r>
          </w:p>
          <w:p>
            <w:pPr>
              <w:spacing w:after="0"/>
            </w:pPr>
            <w:r>
              <w:rPr>
                <w:color w:val="444444"/>
                <w:sz w:val="16"/>
                <w:szCs w:val="16"/>
                <w:rFonts w:ascii="Courier New" w:cs="Courier New" w:eastAsia="Courier New" w:hAnsi="Courier New"/>
              </w:rPr>
              <w:t xml:space="preserve">                          Ministry Reporters  ---&gt; Submit Reports (T01-T07)</w:t>
            </w:r>
          </w:p>
          <w:p>
            <w:pPr>
              <w:spacing w:after="0"/>
            </w:pPr>
            <w:r>
              <w:rPr>
                <w:color w:val="444444"/>
                <w:sz w:val="16"/>
                <w:szCs w:val="16"/>
                <w:rFonts w:ascii="Courier New" w:cs="Courier New" w:eastAsia="Courier New" w:hAnsi="Courier New"/>
              </w:rPr>
              <w:t xml:space="preserve">                          District Officers   ---&gt; Submit Reports (T02-T04)</w:t>
            </w:r>
          </w:p>
          <w:p>
            <w:pPr>
              <w:spacing w:after="0"/>
            </w:pPr>
            <w:r>
              <w:rPr>
                <w:color w:val="444444"/>
                <w:sz w:val="16"/>
                <w:szCs w:val="16"/>
                <w:rFonts w:ascii="Courier New" w:cs="Courier New" w:eastAsia="Courier New" w:hAnsi="Courier New"/>
              </w:rPr>
              <w:t xml:space="preserve">                                                        |</w:t>
            </w:r>
          </w:p>
          <w:p>
            <w:pPr>
              <w:spacing w:after="0"/>
            </w:pPr>
            <w:r>
              <w:rPr>
                <w:color w:val="444444"/>
                <w:sz w:val="16"/>
                <w:szCs w:val="16"/>
                <w:rFonts w:ascii="Courier New" w:cs="Courier New" w:eastAsia="Courier New" w:hAnsi="Courier New"/>
              </w:rPr>
              <w:t xml:space="preserve">                          Policy Monitors     &lt;--- View Dashboards (read-only)</w:t>
            </w:r>
          </w:p>
          <w:p>
            <w:pPr>
              <w:spacing w:after="0"/>
            </w:pPr>
            <w:r>
              <w:rPr>
                <w:color w:val="444444"/>
                <w:sz w:val="16"/>
                <w:szCs w:val="16"/>
                <w:rFonts w:ascii="Courier New" w:cs="Courier New" w:eastAsia="Courier New" w:hAnsi="Courier New"/>
              </w:rPr>
              <w:t xml:space="preserve">                          Dev Partners        &lt;--- View Analytics (read-only)</w:t>
            </w:r>
          </w:p>
          <w:p>
            <w:pPr>
              <w:spacing w:after="0"/>
            </w:pPr>
            <w:r>
              <w:rPr>
                <w:color w:val="444444"/>
                <w:sz w:val="16"/>
                <w:szCs w:val="16"/>
                <w:rFonts w:ascii="Courier New" w:cs="Courier New" w:eastAsia="Courier New" w:hAnsi="Courier New"/>
              </w:rPr>
              <w:t xml:space="preserve">                          Public              &lt;--- View Dashboard &amp; Map (read-only)</w:t>
            </w:r>
          </w:p>
        </w:tc>
      </w:tr>
    </w:tbl>
    <w:p>
      <w:r>
        <w:br w:type="page"/>
      </w:r>
    </w:p>
    <w:p>
      <w:pPr>
        <w:pStyle w:val="Heading1"/>
      </w:pPr>
      <w:r>
        <w:t xml:space="preserve">2. Functional Requirements</w:t>
      </w:r>
    </w:p>
    <w:p>
      <w:pPr>
        <w:spacing w:after="120" w:line="300"/>
      </w:pPr>
      <w:r>
        <w:rPr>
          <w:b w:val="false"/>
          <w:bCs w:val="false"/>
          <w:i w:val="false"/>
          <w:iCs w:val="false"/>
          <w:color w:val="000000"/>
          <w:sz w:val="22"/>
          <w:szCs w:val="22"/>
          <w:rFonts w:ascii="Arial" w:cs="Arial" w:eastAsia="Arial" w:hAnsi="Arial"/>
        </w:rPr>
        <w:t xml:space="preserve">Functional requirements describe the specific behaviours, features, and capabilities the NBSAP Monitoring Dashboard must provide to its users. Each requirement below is uniquely identified, prioritised using MoSCoW, and annotated with implementation notes drawn from the current system design.</w:t>
      </w:r>
    </w:p>
    <w:p>
      <w:pPr>
        <w:pStyle w:val="Heading2"/>
      </w:pPr>
      <w:r>
        <w:t xml:space="preserve">2.1 User Authentication &amp;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200"/>
        <w:gridCol w:w="2460"/>
      </w:tblGrid>
      <w:tr>
        <w:trPr>
          <w:tblHeader/>
        </w:trPr>
        <w:tc>
          <w:tcPr>
            <w:tcW w:type="dxa" w:w="12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ID</w:t>
            </w:r>
          </w:p>
        </w:tc>
        <w:tc>
          <w:tcPr>
            <w:tcW w:type="dxa" w:w="4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Requirement</w:t>
            </w:r>
          </w:p>
        </w:tc>
        <w:tc>
          <w:tcPr>
            <w:tcW w:type="dxa" w:w="12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Priority</w:t>
            </w:r>
          </w:p>
        </w:tc>
        <w:tc>
          <w:tcPr>
            <w:tcW w:type="dxa" w:w="24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Notes</w:t>
            </w:r>
          </w:p>
        </w:tc>
      </w:tr>
      <w:tr>
        <w:tc>
          <w:tcPr>
            <w:tcW w:type="dxa" w:w="1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FR-AUTH-01</w:t>
            </w:r>
          </w:p>
        </w:tc>
        <w:tc>
          <w:tcPr>
            <w:tcW w:type="dxa" w:w="4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The system shall authenticate users via email and password using JWT tokens issued by Supabase Auth</w:t>
            </w:r>
          </w:p>
        </w:tc>
        <w:tc>
          <w:tcPr>
            <w:tcW w:type="dxa" w:w="1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Must Have</w:t>
            </w:r>
          </w:p>
        </w:tc>
        <w:tc>
          <w:tcPr>
            <w:tcW w:type="dxa" w:w="24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1-hour access token; auto-refresh</w:t>
            </w:r>
          </w:p>
        </w:tc>
      </w:tr>
      <w:tr>
        <w:tc>
          <w:tcPr>
            <w:tcW w:type="dxa" w:w="1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FR-AUTH-02</w:t>
            </w:r>
          </w:p>
        </w:tc>
        <w:tc>
          <w:tcPr>
            <w:tcW w:type="dxa" w:w="4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Sessions shall auto-refresh without requiring re-login during active use</w:t>
            </w:r>
          </w:p>
        </w:tc>
        <w:tc>
          <w:tcPr>
            <w:tcW w:type="dxa" w:w="1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Must Have</w:t>
            </w:r>
          </w:p>
        </w:tc>
        <w:tc>
          <w:tcPr>
            <w:tcW w:type="dxa" w:w="24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Handled by Supabase client SDK</w:t>
            </w:r>
          </w:p>
        </w:tc>
      </w:tr>
      <w:tr>
        <w:tc>
          <w:tcPr>
            <w:tcW w:type="dxa" w:w="1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FR-AUTH-03</w:t>
            </w:r>
          </w:p>
        </w:tc>
        <w:tc>
          <w:tcPr>
            <w:tcW w:type="dxa" w:w="4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The system shall support a formal role-change request and approval workflow (no self-service OAuth/SSO in current release)</w:t>
            </w:r>
          </w:p>
        </w:tc>
        <w:tc>
          <w:tcPr>
            <w:tcW w:type="dxa" w:w="1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Should Have</w:t>
            </w:r>
          </w:p>
        </w:tc>
        <w:tc>
          <w:tcPr>
            <w:tcW w:type="dxa" w:w="24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Future: institutional SSO via Rwanda e-Gov</w:t>
            </w:r>
          </w:p>
        </w:tc>
      </w:tr>
      <w:tr>
        <w:tc>
          <w:tcPr>
            <w:tcW w:type="dxa" w:w="1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FR-AUTH-04</w:t>
            </w:r>
          </w:p>
        </w:tc>
        <w:tc>
          <w:tcPr>
            <w:tcW w:type="dxa" w:w="4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Administrators shall be able to suspend or permanently deactivate user accounts, with reason and optional auto-reactivation date</w:t>
            </w:r>
          </w:p>
        </w:tc>
        <w:tc>
          <w:tcPr>
            <w:tcW w:type="dxa" w:w="1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Must Have</w:t>
            </w:r>
          </w:p>
        </w:tc>
        <w:tc>
          <w:tcPr>
            <w:tcW w:type="dxa" w:w="24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Audit-logged action</w:t>
            </w:r>
          </w:p>
        </w:tc>
      </w:tr>
      <w:tr>
        <w:tc>
          <w:tcPr>
            <w:tcW w:type="dxa" w:w="1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FR-AUTH-05</w:t>
            </w:r>
          </w:p>
        </w:tc>
        <w:tc>
          <w:tcPr>
            <w:tcW w:type="dxa" w:w="4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All authentication events (login, logout, failed attempt, password reset) shall be recorded in the immutable audit log</w:t>
            </w:r>
          </w:p>
        </w:tc>
        <w:tc>
          <w:tcPr>
            <w:tcW w:type="dxa" w:w="1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Must Have</w:t>
            </w:r>
          </w:p>
        </w:tc>
        <w:tc>
          <w:tcPr>
            <w:tcW w:type="dxa" w:w="24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Append-only audit_log table</w:t>
            </w:r>
          </w:p>
        </w:tc>
      </w:tr>
    </w:tbl>
    <w:p>
      <w:pPr>
        <w:pStyle w:val="Heading2"/>
      </w:pPr>
      <w:r>
        <w:t xml:space="preserve">2.2 Core Business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200"/>
        <w:gridCol w:w="2460"/>
      </w:tblGrid>
      <w:tr>
        <w:trPr>
          <w:tblHeader/>
        </w:trPr>
        <w:tc>
          <w:tcPr>
            <w:tcW w:type="dxa" w:w="12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ID</w:t>
            </w:r>
          </w:p>
        </w:tc>
        <w:tc>
          <w:tcPr>
            <w:tcW w:type="dxa" w:w="4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Requirement</w:t>
            </w:r>
          </w:p>
        </w:tc>
        <w:tc>
          <w:tcPr>
            <w:tcW w:type="dxa" w:w="12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Priority</w:t>
            </w:r>
          </w:p>
        </w:tc>
        <w:tc>
          <w:tcPr>
            <w:tcW w:type="dxa" w:w="24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Notes</w:t>
            </w:r>
          </w:p>
        </w:tc>
      </w:tr>
      <w:tr>
        <w:tc>
          <w:tcPr>
            <w:tcW w:type="dxa" w:w="1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FR-CRUD-01</w:t>
            </w:r>
          </w:p>
        </w:tc>
        <w:tc>
          <w:tcPr>
            <w:tcW w:type="dxa" w:w="4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The system shall support create, read, update, and delete operations on reports, indicators, targets, and reference data, scoped by role</w:t>
            </w:r>
          </w:p>
        </w:tc>
        <w:tc>
          <w:tcPr>
            <w:tcW w:type="dxa" w:w="1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Must Have</w:t>
            </w:r>
          </w:p>
        </w:tc>
        <w:tc>
          <w:tcPr>
            <w:tcW w:type="dxa" w:w="24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Enforced via RLS</w:t>
            </w:r>
          </w:p>
        </w:tc>
      </w:tr>
      <w:tr>
        <w:tc>
          <w:tcPr>
            <w:tcW w:type="dxa" w:w="1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FR-RPT-01</w:t>
            </w:r>
          </w:p>
        </w:tc>
        <w:tc>
          <w:tcPr>
            <w:tcW w:type="dxa" w:w="4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The system shall provide seven structured reporting tools (T01-T07) covering all NBSAP sectors</w:t>
            </w:r>
          </w:p>
        </w:tc>
        <w:tc>
          <w:tcPr>
            <w:tcW w:type="dxa" w:w="1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Must Have</w:t>
            </w:r>
          </w:p>
        </w:tc>
        <w:tc>
          <w:tcPr>
            <w:tcW w:type="dxa" w:w="24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Institutional, ecosystem, protected area, HWC, finance, EIA, community</w:t>
            </w:r>
          </w:p>
        </w:tc>
      </w:tr>
      <w:tr>
        <w:tc>
          <w:tcPr>
            <w:tcW w:type="dxa" w:w="1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FR-RPT-02</w:t>
            </w:r>
          </w:p>
        </w:tc>
        <w:tc>
          <w:tcPr>
            <w:tcW w:type="dxa" w:w="4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Each report shall support file/evidence attachments (documents, images) stored in secure cloud storage</w:t>
            </w:r>
          </w:p>
        </w:tc>
        <w:tc>
          <w:tcPr>
            <w:tcW w:type="dxa" w:w="1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Must Have</w:t>
            </w:r>
          </w:p>
        </w:tc>
        <w:tc>
          <w:tcPr>
            <w:tcW w:type="dxa" w:w="24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Supabase Storage, access-policy controlled</w:t>
            </w:r>
          </w:p>
        </w:tc>
      </w:tr>
      <w:tr>
        <w:tc>
          <w:tcPr>
            <w:tcW w:type="dxa" w:w="1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FR-VRF-01</w:t>
            </w:r>
          </w:p>
        </w:tc>
        <w:tc>
          <w:tcPr>
            <w:tcW w:type="dxa" w:w="4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All submitted reports shall enter a mandatory verification queue before affecting national metrics</w:t>
            </w:r>
          </w:p>
        </w:tc>
        <w:tc>
          <w:tcPr>
            <w:tcW w:type="dxa" w:w="1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Must Have</w:t>
            </w:r>
          </w:p>
        </w:tc>
        <w:tc>
          <w:tcPr>
            <w:tcW w:type="dxa" w:w="24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No data bypasses the approval gate</w:t>
            </w:r>
          </w:p>
        </w:tc>
      </w:tr>
      <w:tr>
        <w:tc>
          <w:tcPr>
            <w:tcW w:type="dxa" w:w="1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FR-AUD-01</w:t>
            </w:r>
          </w:p>
        </w:tc>
        <w:tc>
          <w:tcPr>
            <w:tcW w:type="dxa" w:w="4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The system shall maintain an immutable, append-only audit log of all significant system actions</w:t>
            </w:r>
          </w:p>
        </w:tc>
        <w:tc>
          <w:tcPr>
            <w:tcW w:type="dxa" w:w="1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Must Have</w:t>
            </w:r>
          </w:p>
        </w:tc>
        <w:tc>
          <w:tcPr>
            <w:tcW w:type="dxa" w:w="24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Records user identity, action, timestamp, affected record</w:t>
            </w:r>
          </w:p>
        </w:tc>
      </w:tr>
      <w:tr>
        <w:tc>
          <w:tcPr>
            <w:tcW w:type="dxa" w:w="1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FR-LNG-01</w:t>
            </w:r>
          </w:p>
        </w:tc>
        <w:tc>
          <w:tcPr>
            <w:tcW w:type="dxa" w:w="4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The current release shall be delivered in English, with the data model designed to accommodate Kinyarwanda and French translations in a future release</w:t>
            </w:r>
          </w:p>
        </w:tc>
        <w:tc>
          <w:tcPr>
            <w:tcW w:type="dxa" w:w="1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Could Have</w:t>
            </w:r>
          </w:p>
        </w:tc>
        <w:tc>
          <w:tcPr>
            <w:tcW w:type="dxa" w:w="24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Multi-language is a roadmap item</w:t>
            </w:r>
          </w:p>
        </w:tc>
      </w:tr>
    </w:tbl>
    <w:p>
      <w:pPr>
        <w:pStyle w:val="Heading2"/>
      </w:pPr>
      <w:r>
        <w:t xml:space="preserve">2.3 Reporting &amp;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200"/>
        <w:gridCol w:w="2460"/>
      </w:tblGrid>
      <w:tr>
        <w:trPr>
          <w:tblHeader/>
        </w:trPr>
        <w:tc>
          <w:tcPr>
            <w:tcW w:type="dxa" w:w="12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ID</w:t>
            </w:r>
          </w:p>
        </w:tc>
        <w:tc>
          <w:tcPr>
            <w:tcW w:type="dxa" w:w="4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Requirement</w:t>
            </w:r>
          </w:p>
        </w:tc>
        <w:tc>
          <w:tcPr>
            <w:tcW w:type="dxa" w:w="12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Priority</w:t>
            </w:r>
          </w:p>
        </w:tc>
        <w:tc>
          <w:tcPr>
            <w:tcW w:type="dxa" w:w="24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Notes</w:t>
            </w:r>
          </w:p>
        </w:tc>
      </w:tr>
      <w:tr>
        <w:tc>
          <w:tcPr>
            <w:tcW w:type="dxa" w:w="1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FR-DSH-01</w:t>
            </w:r>
          </w:p>
        </w:tc>
        <w:tc>
          <w:tcPr>
            <w:tcW w:type="dxa" w:w="4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The dashboard shall display 13 automated, real-time KPI metrics summarising national biodiversity status</w:t>
            </w:r>
          </w:p>
        </w:tc>
        <w:tc>
          <w:tcPr>
            <w:tcW w:type="dxa" w:w="1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Must Have</w:t>
            </w:r>
          </w:p>
        </w:tc>
        <w:tc>
          <w:tcPr>
            <w:tcW w:type="dxa" w:w="24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Trigger-computed, no manual entry</w:t>
            </w:r>
          </w:p>
        </w:tc>
      </w:tr>
      <w:tr>
        <w:tc>
          <w:tcPr>
            <w:tcW w:type="dxa" w:w="1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FR-EXP-01</w:t>
            </w:r>
          </w:p>
        </w:tc>
        <w:tc>
          <w:tcPr>
            <w:tcW w:type="dxa" w:w="4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The system shall export data in CSV format for spreadsheet analysis</w:t>
            </w:r>
          </w:p>
        </w:tc>
        <w:tc>
          <w:tcPr>
            <w:tcW w:type="dxa" w:w="1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Must Have</w:t>
            </w:r>
          </w:p>
        </w:tc>
        <w:tc>
          <w:tcPr>
            <w:tcW w:type="dxa" w:w="24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Filterable by tool, district, target, date</w:t>
            </w:r>
          </w:p>
        </w:tc>
      </w:tr>
      <w:tr>
        <w:tc>
          <w:tcPr>
            <w:tcW w:type="dxa" w:w="1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FR-EXP-02</w:t>
            </w:r>
          </w:p>
        </w:tc>
        <w:tc>
          <w:tcPr>
            <w:tcW w:type="dxa" w:w="4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The system shall export formatted PDF reports and structured JSON for system interoperability</w:t>
            </w:r>
          </w:p>
        </w:tc>
        <w:tc>
          <w:tcPr>
            <w:tcW w:type="dxa" w:w="1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Should Have</w:t>
            </w:r>
          </w:p>
        </w:tc>
        <w:tc>
          <w:tcPr>
            <w:tcW w:type="dxa" w:w="24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PDF for distribution, JSON for CBD tooling</w:t>
            </w:r>
          </w:p>
        </w:tc>
      </w:tr>
      <w:tr>
        <w:tc>
          <w:tcPr>
            <w:tcW w:type="dxa" w:w="1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FR-DSH-02</w:t>
            </w:r>
          </w:p>
        </w:tc>
        <w:tc>
          <w:tcPr>
            <w:tcW w:type="dxa" w:w="4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Charts shall visualise indicator trends and the progress of all 22 NBSAP targets, organised by the four KM-GBF Goals</w:t>
            </w:r>
          </w:p>
        </w:tc>
        <w:tc>
          <w:tcPr>
            <w:tcW w:type="dxa" w:w="1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Must Have</w:t>
            </w:r>
          </w:p>
        </w:tc>
        <w:tc>
          <w:tcPr>
            <w:tcW w:type="dxa" w:w="24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Recharts-based visualisations</w:t>
            </w:r>
          </w:p>
        </w:tc>
      </w:tr>
    </w:tbl>
    <w:p>
      <w:r>
        <w:br w:type="page"/>
      </w:r>
    </w:p>
    <w:p>
      <w:pPr>
        <w:pStyle w:val="Heading1"/>
      </w:pPr>
      <w:r>
        <w:t xml:space="preserve">3. Non-Functional Requirements</w:t>
      </w:r>
    </w:p>
    <w:p>
      <w:pPr>
        <w:pStyle w:val="Heading2"/>
      </w:pPr>
      <w:r>
        <w:t xml:space="preserve">3.1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rPr>
          <w:tblHeader/>
        </w:trPr>
        <w:tc>
          <w:tcPr>
            <w:tcW w:type="dxa" w:w="1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ID</w:t>
            </w:r>
          </w:p>
        </w:tc>
        <w:tc>
          <w:tcPr>
            <w:tcW w:type="dxa" w:w="40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Requirement</w:t>
            </w:r>
          </w:p>
        </w:tc>
        <w:tc>
          <w:tcPr>
            <w:tcW w:type="dxa" w:w="38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Target / Metric</w:t>
            </w:r>
          </w:p>
        </w:tc>
      </w:tr>
      <w:tr>
        <w:tc>
          <w:tcPr>
            <w:tcW w:type="dxa" w:w="1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NFR-PERF-01</w:t>
            </w:r>
          </w:p>
        </w:tc>
        <w:tc>
          <w:tcPr>
            <w:tcW w:type="dxa" w:w="4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Initial page load time</w:t>
            </w:r>
          </w:p>
        </w:tc>
        <w:tc>
          <w:tcPr>
            <w:tcW w:type="dxa" w:w="3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&lt; 3 seconds on a 4G connection</w:t>
            </w:r>
          </w:p>
        </w:tc>
      </w:tr>
      <w:tr>
        <w:tc>
          <w:tcPr>
            <w:tcW w:type="dxa" w:w="1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NFR-PERF-02</w:t>
            </w:r>
          </w:p>
        </w:tc>
        <w:tc>
          <w:tcPr>
            <w:tcW w:type="dxa" w:w="4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API response time for standard queries</w:t>
            </w:r>
          </w:p>
        </w:tc>
        <w:tc>
          <w:tcPr>
            <w:tcW w:type="dxa" w:w="3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&lt; 500ms (p95)</w:t>
            </w:r>
          </w:p>
        </w:tc>
      </w:tr>
      <w:tr>
        <w:tc>
          <w:tcPr>
            <w:tcW w:type="dxa" w:w="1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NFR-PERF-03</w:t>
            </w:r>
          </w:p>
        </w:tc>
        <w:tc>
          <w:tcPr>
            <w:tcW w:type="dxa" w:w="4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Concurrent user capacity</w:t>
            </w:r>
          </w:p>
        </w:tc>
        <w:tc>
          <w:tcPr>
            <w:tcW w:type="dxa" w:w="3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500 simultaneous users</w:t>
            </w:r>
          </w:p>
        </w:tc>
      </w:tr>
      <w:tr>
        <w:tc>
          <w:tcPr>
            <w:tcW w:type="dxa" w:w="1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NFR-PERF-04</w:t>
            </w:r>
          </w:p>
        </w:tc>
        <w:tc>
          <w:tcPr>
            <w:tcW w:type="dxa" w:w="4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Database query time for dashboard aggregation</w:t>
            </w:r>
          </w:p>
        </w:tc>
        <w:tc>
          <w:tcPr>
            <w:tcW w:type="dxa" w:w="3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&lt; 200ms (p50), supported by 20+ indexes</w:t>
            </w:r>
          </w:p>
        </w:tc>
      </w:tr>
      <w:tr>
        <w:tc>
          <w:tcPr>
            <w:tcW w:type="dxa" w:w="1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NFR-PERF-05</w:t>
            </w:r>
          </w:p>
        </w:tc>
        <w:tc>
          <w:tcPr>
            <w:tcW w:type="dxa" w:w="4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Evidence file upload time (typical document/image)</w:t>
            </w:r>
          </w:p>
        </w:tc>
        <w:tc>
          <w:tcPr>
            <w:tcW w:type="dxa" w:w="3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&lt; 5 seconds on standard broadband</w:t>
            </w:r>
          </w:p>
        </w:tc>
      </w:tr>
    </w:tbl>
    <w:p>
      <w:pPr>
        <w:pStyle w:val="Heading2"/>
      </w:pPr>
      <w:r>
        <w:t xml:space="preserve">3.2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rPr>
          <w:tblHeader/>
        </w:trPr>
        <w:tc>
          <w:tcPr>
            <w:tcW w:type="dxa" w:w="1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ID</w:t>
            </w:r>
          </w:p>
        </w:tc>
        <w:tc>
          <w:tcPr>
            <w:tcW w:type="dxa" w:w="40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Requirement</w:t>
            </w:r>
          </w:p>
        </w:tc>
        <w:tc>
          <w:tcPr>
            <w:tcW w:type="dxa" w:w="38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Standard / Reference</w:t>
            </w:r>
          </w:p>
        </w:tc>
      </w:tr>
      <w:tr>
        <w:tc>
          <w:tcPr>
            <w:tcW w:type="dxa" w:w="1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NFR-SEC-01</w:t>
            </w:r>
          </w:p>
        </w:tc>
        <w:tc>
          <w:tcPr>
            <w:tcW w:type="dxa" w:w="4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All traffic shall be encrypted via HTTPS/TLS</w:t>
            </w:r>
          </w:p>
        </w:tc>
        <w:tc>
          <w:tcPr>
            <w:tcW w:type="dxa" w:w="3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TLS 1.2+, Vercel-managed certificates</w:t>
            </w:r>
          </w:p>
        </w:tc>
      </w:tr>
      <w:tr>
        <w:tc>
          <w:tcPr>
            <w:tcW w:type="dxa" w:w="1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NFR-SEC-02</w:t>
            </w:r>
          </w:p>
        </w:tc>
        <w:tc>
          <w:tcPr>
            <w:tcW w:type="dxa" w:w="4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Data at rest shall be encrypted</w:t>
            </w:r>
          </w:p>
        </w:tc>
        <w:tc>
          <w:tcPr>
            <w:tcW w:type="dxa" w:w="3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AES-256, Supabase managed encryption</w:t>
            </w:r>
          </w:p>
        </w:tc>
      </w:tr>
      <w:tr>
        <w:tc>
          <w:tcPr>
            <w:tcW w:type="dxa" w:w="1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NFR-SEC-03</w:t>
            </w:r>
          </w:p>
        </w:tc>
        <w:tc>
          <w:tcPr>
            <w:tcW w:type="dxa" w:w="4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Passwords shall be hashed, never stored in plaintext</w:t>
            </w:r>
          </w:p>
        </w:tc>
        <w:tc>
          <w:tcPr>
            <w:tcW w:type="dxa" w:w="3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bcrypt via Supabase Auth</w:t>
            </w:r>
          </w:p>
        </w:tc>
      </w:tr>
      <w:tr>
        <w:tc>
          <w:tcPr>
            <w:tcW w:type="dxa" w:w="1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NFR-SEC-04</w:t>
            </w:r>
          </w:p>
        </w:tc>
        <w:tc>
          <w:tcPr>
            <w:tcW w:type="dxa" w:w="4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The system shall undergo periodic security assessment against common web vulnerabilities</w:t>
            </w:r>
          </w:p>
        </w:tc>
        <w:tc>
          <w:tcPr>
            <w:tcW w:type="dxa" w:w="3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OWASP Top 10</w:t>
            </w:r>
          </w:p>
        </w:tc>
      </w:tr>
      <w:tr>
        <w:tc>
          <w:tcPr>
            <w:tcW w:type="dxa" w:w="1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NFR-SEC-05</w:t>
            </w:r>
          </w:p>
        </w:tc>
        <w:tc>
          <w:tcPr>
            <w:tcW w:type="dxa" w:w="4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User sessions shall expire and require refresh after a defined inactivity period</w:t>
            </w:r>
          </w:p>
        </w:tc>
        <w:tc>
          <w:tcPr>
            <w:tcW w:type="dxa" w:w="3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JWT 1-hour access token with auto-refresh</w:t>
            </w:r>
          </w:p>
        </w:tc>
      </w:tr>
      <w:tr>
        <w:tc>
          <w:tcPr>
            <w:tcW w:type="dxa" w:w="1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NFR-SEC-06</w:t>
            </w:r>
          </w:p>
        </w:tc>
        <w:tc>
          <w:tcPr>
            <w:tcW w:type="dxa" w:w="4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All user input shall be validated and sanitised before storage or display</w:t>
            </w:r>
          </w:p>
        </w:tc>
        <w:tc>
          <w:tcPr>
            <w:tcW w:type="dxa" w:w="3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Client-side validation + DB constraints</w:t>
            </w:r>
          </w:p>
        </w:tc>
      </w:tr>
    </w:tbl>
    <w:p>
      <w:pPr>
        <w:pStyle w:val="Heading2"/>
      </w:pPr>
      <w:r>
        <w:t xml:space="preserve">3.3 Availability &amp;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rPr>
          <w:tblHeader/>
        </w:trPr>
        <w:tc>
          <w:tcPr>
            <w:tcW w:type="dxa" w:w="1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ID</w:t>
            </w:r>
          </w:p>
        </w:tc>
        <w:tc>
          <w:tcPr>
            <w:tcW w:type="dxa" w:w="40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Requirement</w:t>
            </w:r>
          </w:p>
        </w:tc>
        <w:tc>
          <w:tcPr>
            <w:tcW w:type="dxa" w:w="38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Target</w:t>
            </w:r>
          </w:p>
        </w:tc>
      </w:tr>
      <w:tr>
        <w:tc>
          <w:tcPr>
            <w:tcW w:type="dxa" w:w="1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NFR-AVL-01</w:t>
            </w:r>
          </w:p>
        </w:tc>
        <w:tc>
          <w:tcPr>
            <w:tcW w:type="dxa" w:w="4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System uptime</w:t>
            </w:r>
          </w:p>
        </w:tc>
        <w:tc>
          <w:tcPr>
            <w:tcW w:type="dxa" w:w="3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99.5% annually</w:t>
            </w:r>
          </w:p>
        </w:tc>
      </w:tr>
      <w:tr>
        <w:tc>
          <w:tcPr>
            <w:tcW w:type="dxa" w:w="1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NFR-AVL-02</w:t>
            </w:r>
          </w:p>
        </w:tc>
        <w:tc>
          <w:tcPr>
            <w:tcW w:type="dxa" w:w="4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Scheduled maintenance window</w:t>
            </w:r>
          </w:p>
        </w:tc>
        <w:tc>
          <w:tcPr>
            <w:tcW w:type="dxa" w:w="3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Off-peak hours, communicated 48 hours in advance</w:t>
            </w:r>
          </w:p>
        </w:tc>
      </w:tr>
      <w:tr>
        <w:tc>
          <w:tcPr>
            <w:tcW w:type="dxa" w:w="1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NFR-AVL-03</w:t>
            </w:r>
          </w:p>
        </w:tc>
        <w:tc>
          <w:tcPr>
            <w:tcW w:type="dxa" w:w="4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Recovery Time Objective (RTO)</w:t>
            </w:r>
          </w:p>
        </w:tc>
        <w:tc>
          <w:tcPr>
            <w:tcW w:type="dxa" w:w="3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4 hours</w:t>
            </w:r>
          </w:p>
        </w:tc>
      </w:tr>
      <w:tr>
        <w:tc>
          <w:tcPr>
            <w:tcW w:type="dxa" w:w="1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NFR-AVL-04</w:t>
            </w:r>
          </w:p>
        </w:tc>
        <w:tc>
          <w:tcPr>
            <w:tcW w:type="dxa" w:w="4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Recovery Point Objective (RPO)</w:t>
            </w:r>
          </w:p>
        </w:tc>
        <w:tc>
          <w:tcPr>
            <w:tcW w:type="dxa" w:w="3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24 hours</w:t>
            </w:r>
          </w:p>
        </w:tc>
      </w:tr>
      <w:tr>
        <w:tc>
          <w:tcPr>
            <w:tcW w:type="dxa" w:w="1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NFR-AVL-05</w:t>
            </w:r>
          </w:p>
        </w:tc>
        <w:tc>
          <w:tcPr>
            <w:tcW w:type="dxa" w:w="4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Database backup frequency</w:t>
            </w:r>
          </w:p>
        </w:tc>
        <w:tc>
          <w:tcPr>
            <w:tcW w:type="dxa" w:w="3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Daily automated backup (Supabase managed)</w:t>
            </w:r>
          </w:p>
        </w:tc>
      </w:tr>
    </w:tbl>
    <w:p>
      <w:pPr>
        <w:pStyle w:val="Heading2"/>
      </w:pPr>
      <w:r>
        <w:t xml:space="preserve">3.4 Scalability &amp; Maintainability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rPr>
          <w:tblHeader/>
        </w:trPr>
        <w:tc>
          <w:tcPr>
            <w:tcW w:type="dxa" w:w="1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ID</w:t>
            </w:r>
          </w:p>
        </w:tc>
        <w:tc>
          <w:tcPr>
            <w:tcW w:type="dxa" w:w="40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Requirement</w:t>
            </w:r>
          </w:p>
        </w:tc>
        <w:tc>
          <w:tcPr>
            <w:tcW w:type="dxa" w:w="38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Details</w:t>
            </w:r>
          </w:p>
        </w:tc>
      </w:tr>
      <w:tr>
        <w:tc>
          <w:tcPr>
            <w:tcW w:type="dxa" w:w="1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NFR-SCL-01</w:t>
            </w:r>
          </w:p>
        </w:tc>
        <w:tc>
          <w:tcPr>
            <w:tcW w:type="dxa" w:w="4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The architecture shall support horizontal scaling without code changes</w:t>
            </w:r>
          </w:p>
        </w:tc>
        <w:tc>
          <w:tcPr>
            <w:tcW w:type="dxa" w:w="3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Serverless BaaS (Supabase) + CDN-hosted frontend (Vercel)</w:t>
            </w:r>
          </w:p>
        </w:tc>
      </w:tr>
      <w:tr>
        <w:tc>
          <w:tcPr>
            <w:tcW w:type="dxa" w:w="1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NFR-SCL-02</w:t>
            </w:r>
          </w:p>
        </w:tc>
        <w:tc>
          <w:tcPr>
            <w:tcW w:type="dxa" w:w="4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The system shall accommodate growth in report volume without redesign</w:t>
            </w:r>
          </w:p>
        </w:tc>
        <w:tc>
          <w:tcPr>
            <w:tcW w:type="dxa" w:w="3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10,000+ report capacity on current tier</w:t>
            </w:r>
          </w:p>
        </w:tc>
      </w:tr>
      <w:tr>
        <w:tc>
          <w:tcPr>
            <w:tcW w:type="dxa" w:w="1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NFR-SCL-03</w:t>
            </w:r>
          </w:p>
        </w:tc>
        <w:tc>
          <w:tcPr>
            <w:tcW w:type="dxa" w:w="4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The codebase shall be maintainable by future development teams</w:t>
            </w:r>
          </w:p>
        </w:tc>
        <w:tc>
          <w:tcPr>
            <w:tcW w:type="dxa" w:w="3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TypeScript throughout; ~15,000+ lines across 50+ components</w:t>
            </w:r>
          </w:p>
        </w:tc>
      </w:tr>
      <w:tr>
        <w:tc>
          <w:tcPr>
            <w:tcW w:type="dxa" w:w="1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NFR-SCL-04</w:t>
            </w:r>
          </w:p>
        </w:tc>
        <w:tc>
          <w:tcPr>
            <w:tcW w:type="dxa" w:w="4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Deployments shall be automated and require no manual server configuration</w:t>
            </w:r>
          </w:p>
        </w:tc>
        <w:tc>
          <w:tcPr>
            <w:tcW w:type="dxa" w:w="3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Git push to main triggers Vercel CI/CD build and deploy</w:t>
            </w:r>
          </w:p>
        </w:tc>
      </w:tr>
    </w:tbl>
    <w:p>
      <w:r>
        <w:br w:type="page"/>
      </w:r>
    </w:p>
    <w:p>
      <w:pPr>
        <w:pStyle w:val="Heading1"/>
      </w:pPr>
      <w:r>
        <w:t xml:space="preserve">4. Business Rules</w:t>
      </w:r>
    </w:p>
    <w:p>
      <w:pPr>
        <w:spacing w:after="120" w:line="300"/>
      </w:pPr>
      <w:r>
        <w:rPr>
          <w:b w:val="false"/>
          <w:bCs w:val="false"/>
          <w:i w:val="false"/>
          <w:iCs w:val="false"/>
          <w:color w:val="000000"/>
          <w:sz w:val="22"/>
          <w:szCs w:val="22"/>
          <w:rFonts w:ascii="Arial" w:cs="Arial" w:eastAsia="Arial" w:hAnsi="Arial"/>
        </w:rPr>
        <w:t xml:space="preserve">Business rules are policy-driven constraints that the system enforces independently of any single feature. They protect data integrity, ensure separation of duties, and uphold REMA's governance requirements for national biodiversity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2000"/>
        <w:gridCol w:w="1960"/>
      </w:tblGrid>
      <w:tr>
        <w:trPr>
          <w:tblHeader/>
        </w:trPr>
        <w:tc>
          <w:tcPr>
            <w:tcW w:type="dxa" w:w="12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ID</w:t>
            </w:r>
          </w:p>
        </w:tc>
        <w:tc>
          <w:tcPr>
            <w:tcW w:type="dxa" w:w="42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Business Rule</w:t>
            </w:r>
          </w:p>
        </w:tc>
        <w:tc>
          <w:tcPr>
            <w:tcW w:type="dxa" w:w="20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Category</w:t>
            </w:r>
          </w:p>
        </w:tc>
        <w:tc>
          <w:tcPr>
            <w:tcW w:type="dxa" w:w="19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Enforcement</w:t>
            </w:r>
          </w:p>
        </w:tc>
      </w:tr>
      <w:tr>
        <w:tc>
          <w:tcPr>
            <w:tcW w:type="dxa" w:w="1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BR-01</w:t>
            </w:r>
          </w:p>
        </w:tc>
        <w:tc>
          <w:tcPr>
            <w:tcW w:type="dxa" w:w="4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 reference record (district, target, indicator) with dependent reports cannot be deleted while dependents exist</w:t>
            </w:r>
          </w:p>
        </w:tc>
        <w:tc>
          <w:tcPr>
            <w:tcW w:type="dxa" w:w="2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Referential Integrity</w:t>
            </w:r>
          </w:p>
        </w:tc>
        <w:tc>
          <w:tcPr>
            <w:tcW w:type="dxa" w:w="19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Database foreign-key constraints</w:t>
            </w:r>
          </w:p>
        </w:tc>
      </w:tr>
      <w:tr>
        <w:tc>
          <w:tcPr>
            <w:tcW w:type="dxa" w:w="1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BR-02</w:t>
            </w:r>
          </w:p>
        </w:tc>
        <w:tc>
          <w:tcPr>
            <w:tcW w:type="dxa" w:w="4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Reports affecting national metrics require approval by an authorised reviewer before they take effect</w:t>
            </w:r>
          </w:p>
        </w:tc>
        <w:tc>
          <w:tcPr>
            <w:tcW w:type="dxa" w:w="2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Approval Threshold</w:t>
            </w:r>
          </w:p>
        </w:tc>
        <w:tc>
          <w:tcPr>
            <w:tcW w:type="dxa" w:w="19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Verification Queue workflow + DB trigger gate</w:t>
            </w:r>
          </w:p>
        </w:tc>
      </w:tr>
      <w:tr>
        <w:tc>
          <w:tcPr>
            <w:tcW w:type="dxa" w:w="1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BR-03</w:t>
            </w:r>
          </w:p>
        </w:tc>
        <w:tc>
          <w:tcPr>
            <w:tcW w:type="dxa" w:w="4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 reviewer cannot approve their own submitted report</w:t>
            </w:r>
          </w:p>
        </w:tc>
        <w:tc>
          <w:tcPr>
            <w:tcW w:type="dxa" w:w="2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Self-Approval Prohibition</w:t>
            </w:r>
          </w:p>
        </w:tc>
        <w:tc>
          <w:tcPr>
            <w:tcW w:type="dxa" w:w="19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Application logic + audit check</w:t>
            </w:r>
          </w:p>
        </w:tc>
      </w:tr>
      <w:tr>
        <w:tc>
          <w:tcPr>
            <w:tcW w:type="dxa" w:w="1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BR-04</w:t>
            </w:r>
          </w:p>
        </w:tc>
        <w:tc>
          <w:tcPr>
            <w:tcW w:type="dxa" w:w="4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Monetary values (budgets, disbursements) shall be recorded and displayed in Rwandan Francs (RWF) with standard thousands formatting</w:t>
            </w:r>
          </w:p>
        </w:tc>
        <w:tc>
          <w:tcPr>
            <w:tcW w:type="dxa" w:w="2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Currency Formatting</w:t>
            </w:r>
          </w:p>
        </w:tc>
        <w:tc>
          <w:tcPr>
            <w:tcW w:type="dxa" w:w="19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Frontend formatting utility</w:t>
            </w:r>
          </w:p>
        </w:tc>
      </w:tr>
      <w:tr>
        <w:tc>
          <w:tcPr>
            <w:tcW w:type="dxa" w:w="1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BR-05</w:t>
            </w:r>
          </w:p>
        </w:tc>
        <w:tc>
          <w:tcPr>
            <w:tcW w:type="dxa" w:w="4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The current release is delivered in English only; all user-facing text shall be sourced from a single language resource for future translation</w:t>
            </w:r>
          </w:p>
        </w:tc>
        <w:tc>
          <w:tcPr>
            <w:tcW w:type="dxa" w:w="2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Language Compliance</w:t>
            </w:r>
          </w:p>
        </w:tc>
        <w:tc>
          <w:tcPr>
            <w:tcW w:type="dxa" w:w="19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Centralised string resources</w:t>
            </w:r>
          </w:p>
        </w:tc>
      </w:tr>
      <w:tr>
        <w:tc>
          <w:tcPr>
            <w:tcW w:type="dxa" w:w="1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BR-06</w:t>
            </w:r>
          </w:p>
        </w:tc>
        <w:tc>
          <w:tcPr>
            <w:tcW w:type="dxa" w:w="4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User accounts inactive for an extended period may be flagged and, if configured, automatically suspended by an administrator action</w:t>
            </w:r>
          </w:p>
        </w:tc>
        <w:tc>
          <w:tcPr>
            <w:tcW w:type="dxa" w:w="2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Account Lifecycle</w:t>
            </w:r>
          </w:p>
        </w:tc>
        <w:tc>
          <w:tcPr>
            <w:tcW w:type="dxa" w:w="19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Admin-initiated suspension with audit log</w:t>
            </w:r>
          </w:p>
        </w:tc>
      </w:tr>
      <w:tr>
        <w:tc>
          <w:tcPr>
            <w:tcW w:type="dxa" w:w="1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BR-07</w:t>
            </w:r>
          </w:p>
        </w:tc>
        <w:tc>
          <w:tcPr>
            <w:tcW w:type="dxa" w:w="4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Submitted reports and audit log entries are retained for the duration of the NBSAP 2025-2030 period at minimum before archival review</w:t>
            </w:r>
          </w:p>
        </w:tc>
        <w:tc>
          <w:tcPr>
            <w:tcW w:type="dxa" w:w="2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Data Archival Age</w:t>
            </w:r>
          </w:p>
        </w:tc>
        <w:tc>
          <w:tcPr>
            <w:tcW w:type="dxa" w:w="19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Retention policy (Section 7.3)</w:t>
            </w:r>
          </w:p>
        </w:tc>
      </w:tr>
      <w:tr>
        <w:tc>
          <w:tcPr>
            <w:tcW w:type="dxa" w:w="1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BR-08</w:t>
            </w:r>
          </w:p>
        </w:tc>
        <w:tc>
          <w:tcPr>
            <w:tcW w:type="dxa" w:w="4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Duplicate report submissions for the same district, tool, and reporting period shall be flagged for reviewer attention</w:t>
            </w:r>
          </w:p>
        </w:tc>
        <w:tc>
          <w:tcPr>
            <w:tcW w:type="dxa" w:w="2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Duplicate Rejection</w:t>
            </w:r>
          </w:p>
        </w:tc>
        <w:tc>
          <w:tcPr>
            <w:tcW w:type="dxa" w:w="19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Validation check at submission + reviewer judgement</w:t>
            </w:r>
          </w:p>
        </w:tc>
      </w:tr>
    </w:tbl>
    <w:p>
      <w:r>
        <w:br w:type="page"/>
      </w:r>
    </w:p>
    <w:p>
      <w:pPr>
        <w:pStyle w:val="Heading1"/>
      </w:pPr>
      <w:r>
        <w:t xml:space="preserve">5. User Roles &amp; Permissions</w:t>
      </w:r>
    </w:p>
    <w:p>
      <w:pPr>
        <w:pStyle w:val="Heading2"/>
      </w:pPr>
      <w:r>
        <w:t xml:space="preserve">5.1 Role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tblHeader/>
        </w:trPr>
        <w:tc>
          <w:tcPr>
            <w:tcW w:type="dxa" w:w="20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Role</w:t>
            </w:r>
          </w:p>
        </w:tc>
        <w:tc>
          <w:tcPr>
            <w:tcW w:type="dxa" w:w="46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Description</w:t>
            </w:r>
          </w:p>
        </w:tc>
        <w:tc>
          <w:tcPr>
            <w:tcW w:type="dxa" w:w="27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Typical Users</w:t>
            </w:r>
          </w:p>
        </w:tc>
      </w:tr>
      <w:tr>
        <w:tc>
          <w:tcPr>
            <w:tcW w:type="dxa" w:w="2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REMA Administrator</w:t>
            </w:r>
          </w:p>
        </w:tc>
        <w:tc>
          <w:tcPr>
            <w:tcW w:type="dxa" w:w="46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Full system oversight: user management, data verification, audit log access, and system configuration. The only role with unrestricted access.</w:t>
            </w:r>
          </w:p>
        </w:tc>
        <w:tc>
          <w:tcPr>
            <w:tcW w:type="dxa" w:w="27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REMA Department of Biodiversity &amp; Landscape Management staff</w:t>
            </w:r>
          </w:p>
        </w:tc>
      </w:tr>
      <w:tr>
        <w:tc>
          <w:tcPr>
            <w:tcW w:type="dxa" w:w="2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Sector Reporter</w:t>
            </w:r>
          </w:p>
        </w:tc>
        <w:tc>
          <w:tcPr>
            <w:tcW w:type="dxa" w:w="46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Submits and can approve structured reports across the seven reporting tools; can export raw data for sectoral analysis.</w:t>
            </w:r>
          </w:p>
        </w:tc>
        <w:tc>
          <w:tcPr>
            <w:tcW w:type="dxa" w:w="27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Lead ministry focal points (Agriculture, Forestry, Mining, Water)</w:t>
            </w:r>
          </w:p>
        </w:tc>
      </w:tr>
      <w:tr>
        <w:tc>
          <w:tcPr>
            <w:tcW w:type="dxa" w:w="2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Local Reporter</w:t>
            </w:r>
          </w:p>
        </w:tc>
        <w:tc>
          <w:tcPr>
            <w:tcW w:type="dxa" w:w="46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Submits district-level reports restricted to their own district; cannot approve submissions.</w:t>
            </w:r>
          </w:p>
        </w:tc>
        <w:tc>
          <w:tcPr>
            <w:tcW w:type="dxa" w:w="27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District Reporting Officers, local environment offices</w:t>
            </w:r>
          </w:p>
        </w:tc>
      </w:tr>
      <w:tr>
        <w:tc>
          <w:tcPr>
            <w:tcW w:type="dxa" w:w="2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Policy Monitor</w:t>
            </w:r>
          </w:p>
        </w:tc>
        <w:tc>
          <w:tcPr>
            <w:tcW w:type="dxa" w:w="46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Read-only strategic oversight of dashboards, targets, and indicators; no submission or approval rights.</w:t>
            </w:r>
          </w:p>
        </w:tc>
        <w:tc>
          <w:tcPr>
            <w:tcW w:type="dxa" w:w="27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Ministry of Environment oversight personnel, policy analysts</w:t>
            </w:r>
          </w:p>
        </w:tc>
      </w:tr>
      <w:tr>
        <w:tc>
          <w:tcPr>
            <w:tcW w:type="dxa" w:w="2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Development Partner</w:t>
            </w:r>
          </w:p>
        </w:tc>
        <w:tc>
          <w:tcPr>
            <w:tcW w:type="dxa" w:w="46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Read-only analytical access to indicator data and programme alignment views for donor coordination.</w:t>
            </w:r>
          </w:p>
        </w:tc>
        <w:tc>
          <w:tcPr>
            <w:tcW w:type="dxa" w:w="27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UNDP, GIZ, World Bank and other NBSAP development partners</w:t>
            </w:r>
          </w:p>
        </w:tc>
      </w:tr>
      <w:tr>
        <w:tc>
          <w:tcPr>
            <w:tcW w:type="dxa" w:w="2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Public Viewer</w:t>
            </w:r>
          </w:p>
        </w:tc>
        <w:tc>
          <w:tcPr>
            <w:tcW w:type="dxa" w:w="46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Read-only public access to dashboards and the biodiversity map; no access to reports, audit logs, or user data.</w:t>
            </w:r>
          </w:p>
        </w:tc>
        <w:tc>
          <w:tcPr>
            <w:tcW w:type="dxa" w:w="27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General public, journalists, students, researchers</w:t>
            </w:r>
          </w:p>
        </w:tc>
      </w:tr>
    </w:tbl>
    <w:p>
      <w:pPr>
        <w:pStyle w:val="Heading2"/>
      </w:pPr>
      <w:r>
        <w:t xml:space="preserve">5.2 Permission Matrix</w:t>
      </w:r>
    </w:p>
    <w:p>
      <w:pPr>
        <w:spacing w:after="120" w:line="300"/>
      </w:pPr>
      <w:r>
        <w:rPr>
          <w:b w:val="false"/>
          <w:bCs w:val="false"/>
          <w:i/>
          <w:iCs/>
          <w:color w:val="000000"/>
          <w:sz w:val="22"/>
          <w:szCs w:val="22"/>
          <w:rFonts w:ascii="Arial" w:cs="Arial" w:eastAsia="Arial" w:hAnsi="Arial"/>
        </w:rPr>
        <w:t xml:space="preserve">The matrix below summarises access by feature for the five roles with system access beyond pure public viewing. Development Partner access mirrors the Policy Monitor (read-only analytical) row; Public Viewer is included as the most restricted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300"/>
        <w:gridCol w:w="1400"/>
        <w:gridCol w:w="1300"/>
        <w:gridCol w:w="1460"/>
      </w:tblGrid>
      <w:tr>
        <w:trPr>
          <w:tblHeader/>
        </w:trPr>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Feature / Module</w:t>
            </w:r>
          </w:p>
        </w:tc>
        <w:tc>
          <w:tcPr>
            <w:tcW w:type="dxa" w:w="14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REMA Admin</w:t>
            </w:r>
          </w:p>
        </w:tc>
        <w:tc>
          <w:tcPr>
            <w:tcW w:type="dxa" w:w="13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Sector Reporter</w:t>
            </w:r>
          </w:p>
        </w:tc>
        <w:tc>
          <w:tcPr>
            <w:tcW w:type="dxa" w:w="14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Local Reporter</w:t>
            </w:r>
          </w:p>
        </w:tc>
        <w:tc>
          <w:tcPr>
            <w:tcW w:type="dxa" w:w="13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Policy Monitor</w:t>
            </w:r>
          </w:p>
        </w:tc>
        <w:tc>
          <w:tcPr>
            <w:tcW w:type="dxa" w:w="14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Public Viewer</w:t>
            </w:r>
          </w:p>
        </w:tc>
      </w:tr>
      <w:tr>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Create Records</w:t>
            </w:r>
          </w:p>
        </w:tc>
        <w:tc>
          <w:tcPr>
            <w:tcW w:type="dxa" w:w="1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w:t>
            </w:r>
          </w:p>
        </w:tc>
        <w:tc>
          <w:tcPr>
            <w:tcW w:type="dxa" w:w="13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w:t>
            </w:r>
          </w:p>
        </w:tc>
        <w:tc>
          <w:tcPr>
            <w:tcW w:type="dxa" w:w="1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Own district only</w:t>
            </w:r>
          </w:p>
        </w:tc>
        <w:tc>
          <w:tcPr>
            <w:tcW w:type="dxa" w:w="13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w:t>
            </w:r>
          </w:p>
        </w:tc>
        <w:tc>
          <w:tcPr>
            <w:tcW w:type="dxa" w:w="14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w:t>
            </w:r>
          </w:p>
        </w:tc>
      </w:tr>
      <w:tr>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Edit Records</w:t>
            </w:r>
          </w:p>
        </w:tc>
        <w:tc>
          <w:tcPr>
            <w:tcW w:type="dxa" w:w="1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w:t>
            </w:r>
          </w:p>
        </w:tc>
        <w:tc>
          <w:tcPr>
            <w:tcW w:type="dxa" w:w="13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Own only</w:t>
            </w:r>
          </w:p>
        </w:tc>
        <w:tc>
          <w:tcPr>
            <w:tcW w:type="dxa" w:w="1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Own only</w:t>
            </w:r>
          </w:p>
        </w:tc>
        <w:tc>
          <w:tcPr>
            <w:tcW w:type="dxa" w:w="13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w:t>
            </w:r>
          </w:p>
        </w:tc>
        <w:tc>
          <w:tcPr>
            <w:tcW w:type="dxa" w:w="14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w:t>
            </w:r>
          </w:p>
        </w:tc>
      </w:tr>
      <w:tr>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Delete Records</w:t>
            </w:r>
          </w:p>
        </w:tc>
        <w:tc>
          <w:tcPr>
            <w:tcW w:type="dxa" w:w="1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w:t>
            </w:r>
          </w:p>
        </w:tc>
        <w:tc>
          <w:tcPr>
            <w:tcW w:type="dxa" w:w="13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w:t>
            </w:r>
          </w:p>
        </w:tc>
        <w:tc>
          <w:tcPr>
            <w:tcW w:type="dxa" w:w="1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w:t>
            </w:r>
          </w:p>
        </w:tc>
        <w:tc>
          <w:tcPr>
            <w:tcW w:type="dxa" w:w="13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w:t>
            </w:r>
          </w:p>
        </w:tc>
        <w:tc>
          <w:tcPr>
            <w:tcW w:type="dxa" w:w="14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w:t>
            </w:r>
          </w:p>
        </w:tc>
      </w:tr>
      <w:tr>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Approve / Reject</w:t>
            </w:r>
          </w:p>
        </w:tc>
        <w:tc>
          <w:tcPr>
            <w:tcW w:type="dxa" w:w="1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w:t>
            </w:r>
          </w:p>
        </w:tc>
        <w:tc>
          <w:tcPr>
            <w:tcW w:type="dxa" w:w="13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w:t>
            </w:r>
          </w:p>
        </w:tc>
        <w:tc>
          <w:tcPr>
            <w:tcW w:type="dxa" w:w="1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w:t>
            </w:r>
          </w:p>
        </w:tc>
        <w:tc>
          <w:tcPr>
            <w:tcW w:type="dxa" w:w="13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w:t>
            </w:r>
          </w:p>
        </w:tc>
        <w:tc>
          <w:tcPr>
            <w:tcW w:type="dxa" w:w="14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w:t>
            </w:r>
          </w:p>
        </w:tc>
      </w:tr>
      <w:tr>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View All Records</w:t>
            </w:r>
          </w:p>
        </w:tc>
        <w:tc>
          <w:tcPr>
            <w:tcW w:type="dxa" w:w="1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w:t>
            </w:r>
          </w:p>
        </w:tc>
        <w:tc>
          <w:tcPr>
            <w:tcW w:type="dxa" w:w="13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Limited</w:t>
            </w:r>
          </w:p>
        </w:tc>
        <w:tc>
          <w:tcPr>
            <w:tcW w:type="dxa" w:w="1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Own district only</w:t>
            </w:r>
          </w:p>
        </w:tc>
        <w:tc>
          <w:tcPr>
            <w:tcW w:type="dxa" w:w="13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w:t>
            </w:r>
          </w:p>
        </w:tc>
        <w:tc>
          <w:tcPr>
            <w:tcW w:type="dxa" w:w="14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Limited</w:t>
            </w:r>
          </w:p>
        </w:tc>
      </w:tr>
      <w:tr>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Generate Reports</w:t>
            </w:r>
          </w:p>
        </w:tc>
        <w:tc>
          <w:tcPr>
            <w:tcW w:type="dxa" w:w="1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w:t>
            </w:r>
          </w:p>
        </w:tc>
        <w:tc>
          <w:tcPr>
            <w:tcW w:type="dxa" w:w="13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w:t>
            </w:r>
          </w:p>
        </w:tc>
        <w:tc>
          <w:tcPr>
            <w:tcW w:type="dxa" w:w="1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Limited</w:t>
            </w:r>
          </w:p>
        </w:tc>
        <w:tc>
          <w:tcPr>
            <w:tcW w:type="dxa" w:w="13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Read-only</w:t>
            </w:r>
          </w:p>
        </w:tc>
        <w:tc>
          <w:tcPr>
            <w:tcW w:type="dxa" w:w="14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w:t>
            </w:r>
          </w:p>
        </w:tc>
      </w:tr>
      <w:tr>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Manage Users</w:t>
            </w:r>
          </w:p>
        </w:tc>
        <w:tc>
          <w:tcPr>
            <w:tcW w:type="dxa" w:w="1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w:t>
            </w:r>
          </w:p>
        </w:tc>
        <w:tc>
          <w:tcPr>
            <w:tcW w:type="dxa" w:w="13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w:t>
            </w:r>
          </w:p>
        </w:tc>
        <w:tc>
          <w:tcPr>
            <w:tcW w:type="dxa" w:w="1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w:t>
            </w:r>
          </w:p>
        </w:tc>
        <w:tc>
          <w:tcPr>
            <w:tcW w:type="dxa" w:w="13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w:t>
            </w:r>
          </w:p>
        </w:tc>
        <w:tc>
          <w:tcPr>
            <w:tcW w:type="dxa" w:w="14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w:t>
            </w:r>
          </w:p>
        </w:tc>
      </w:tr>
      <w:tr>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System Configuration</w:t>
            </w:r>
          </w:p>
        </w:tc>
        <w:tc>
          <w:tcPr>
            <w:tcW w:type="dxa" w:w="1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w:t>
            </w:r>
          </w:p>
        </w:tc>
        <w:tc>
          <w:tcPr>
            <w:tcW w:type="dxa" w:w="13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w:t>
            </w:r>
          </w:p>
        </w:tc>
        <w:tc>
          <w:tcPr>
            <w:tcW w:type="dxa" w:w="1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w:t>
            </w:r>
          </w:p>
        </w:tc>
        <w:tc>
          <w:tcPr>
            <w:tcW w:type="dxa" w:w="13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w:t>
            </w:r>
          </w:p>
        </w:tc>
        <w:tc>
          <w:tcPr>
            <w:tcW w:type="dxa" w:w="14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w:t>
            </w:r>
          </w:p>
        </w:tc>
      </w:tr>
      <w:tr>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View Audit Logs</w:t>
            </w:r>
          </w:p>
        </w:tc>
        <w:tc>
          <w:tcPr>
            <w:tcW w:type="dxa" w:w="1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w:t>
            </w:r>
          </w:p>
        </w:tc>
        <w:tc>
          <w:tcPr>
            <w:tcW w:type="dxa" w:w="13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w:t>
            </w:r>
          </w:p>
        </w:tc>
        <w:tc>
          <w:tcPr>
            <w:tcW w:type="dxa" w:w="1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w:t>
            </w:r>
          </w:p>
        </w:tc>
        <w:tc>
          <w:tcPr>
            <w:tcW w:type="dxa" w:w="13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w:t>
            </w:r>
          </w:p>
        </w:tc>
        <w:tc>
          <w:tcPr>
            <w:tcW w:type="dxa" w:w="14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w:t>
            </w:r>
          </w:p>
        </w:tc>
      </w:tr>
    </w:tbl>
    <w:p>
      <w:r>
        <w:br w:type="page"/>
      </w:r>
    </w:p>
    <w:p>
      <w:pPr>
        <w:pStyle w:val="Heading1"/>
      </w:pPr>
      <w:r>
        <w:t xml:space="preserve">6. System Integrations</w:t>
      </w:r>
    </w:p>
    <w:p>
      <w:pPr>
        <w:pStyle w:val="Heading2"/>
      </w:pPr>
      <w:r>
        <w:t xml:space="preserve">6.1 Integration Overview</w:t>
      </w:r>
    </w:p>
    <w:p>
      <w:pPr>
        <w:spacing w:after="120" w:line="300"/>
      </w:pPr>
      <w:r>
        <w:rPr>
          <w:b w:val="false"/>
          <w:bCs w:val="false"/>
          <w:i w:val="false"/>
          <w:iCs w:val="false"/>
          <w:color w:val="000000"/>
          <w:sz w:val="22"/>
          <w:szCs w:val="22"/>
          <w:rFonts w:ascii="Arial" w:cs="Arial" w:eastAsia="Arial" w:hAnsi="Arial"/>
        </w:rPr>
        <w:t xml:space="preserve">The NBSAP Monitoring Dashboard integrates with several external systems and services to enrich its biodiversity data, manage authentication, and operate reliably at national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800"/>
        <w:gridCol w:w="1200"/>
        <w:gridCol w:w="1500"/>
        <w:gridCol w:w="1560"/>
      </w:tblGrid>
      <w:tr>
        <w:trPr>
          <w:tblHeader/>
        </w:trPr>
        <w:tc>
          <w:tcPr>
            <w:tcW w:type="dxa" w:w="9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ID</w:t>
            </w:r>
          </w:p>
        </w:tc>
        <w:tc>
          <w:tcPr>
            <w:tcW w:type="dxa" w:w="24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System / Service</w:t>
            </w:r>
          </w:p>
        </w:tc>
        <w:tc>
          <w:tcPr>
            <w:tcW w:type="dxa" w:w="18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Integration Type</w:t>
            </w:r>
          </w:p>
        </w:tc>
        <w:tc>
          <w:tcPr>
            <w:tcW w:type="dxa" w:w="12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Direction</w:t>
            </w:r>
          </w:p>
        </w:tc>
        <w:tc>
          <w:tcPr>
            <w:tcW w:type="dxa" w:w="1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Protocol</w:t>
            </w:r>
          </w:p>
        </w:tc>
        <w:tc>
          <w:tcPr>
            <w:tcW w:type="dxa" w:w="15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Priority</w:t>
            </w:r>
          </w:p>
        </w:tc>
      </w:tr>
      <w:tr>
        <w:tc>
          <w:tcPr>
            <w:tcW w:type="dxa" w:w="9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INT-01</w:t>
            </w:r>
          </w:p>
        </w:tc>
        <w:tc>
          <w:tcPr>
            <w:tcW w:type="dxa" w:w="2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Supabase Auth (email)</w:t>
            </w:r>
          </w:p>
        </w:tc>
        <w:tc>
          <w:tcPr>
            <w:tcW w:type="dxa" w:w="1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Authentication</w:t>
            </w:r>
          </w:p>
        </w:tc>
        <w:tc>
          <w:tcPr>
            <w:tcW w:type="dxa" w:w="1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Bidirectional</w:t>
            </w:r>
          </w:p>
        </w:tc>
        <w:tc>
          <w:tcPr>
            <w:tcW w:type="dxa" w:w="1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HTTPS / JWT</w:t>
            </w:r>
          </w:p>
        </w:tc>
        <w:tc>
          <w:tcPr>
            <w:tcW w:type="dxa" w:w="15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Must Have</w:t>
            </w:r>
          </w:p>
        </w:tc>
      </w:tr>
      <w:tr>
        <w:tc>
          <w:tcPr>
            <w:tcW w:type="dxa" w:w="9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INT-02</w:t>
            </w:r>
          </w:p>
        </w:tc>
        <w:tc>
          <w:tcPr>
            <w:tcW w:type="dxa" w:w="2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Supabase Realtime</w:t>
            </w:r>
          </w:p>
        </w:tc>
        <w:tc>
          <w:tcPr>
            <w:tcW w:type="dxa" w:w="1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Live data push</w:t>
            </w:r>
          </w:p>
        </w:tc>
        <w:tc>
          <w:tcPr>
            <w:tcW w:type="dxa" w:w="1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Outbound (push)</w:t>
            </w:r>
          </w:p>
        </w:tc>
        <w:tc>
          <w:tcPr>
            <w:tcW w:type="dxa" w:w="1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WebSocket (WSS)</w:t>
            </w:r>
          </w:p>
        </w:tc>
        <w:tc>
          <w:tcPr>
            <w:tcW w:type="dxa" w:w="15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Must Have</w:t>
            </w:r>
          </w:p>
        </w:tc>
      </w:tr>
      <w:tr>
        <w:tc>
          <w:tcPr>
            <w:tcW w:type="dxa" w:w="9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INT-03</w:t>
            </w:r>
          </w:p>
        </w:tc>
        <w:tc>
          <w:tcPr>
            <w:tcW w:type="dxa" w:w="2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GBIF API (species data)</w:t>
            </w:r>
          </w:p>
        </w:tc>
        <w:tc>
          <w:tcPr>
            <w:tcW w:type="dxa" w:w="1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Data feed</w:t>
            </w:r>
          </w:p>
        </w:tc>
        <w:tc>
          <w:tcPr>
            <w:tcW w:type="dxa" w:w="1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Inbound</w:t>
            </w:r>
          </w:p>
        </w:tc>
        <w:tc>
          <w:tcPr>
            <w:tcW w:type="dxa" w:w="1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HTTPS REST</w:t>
            </w:r>
          </w:p>
        </w:tc>
        <w:tc>
          <w:tcPr>
            <w:tcW w:type="dxa" w:w="15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Should Have</w:t>
            </w:r>
          </w:p>
        </w:tc>
      </w:tr>
      <w:tr>
        <w:tc>
          <w:tcPr>
            <w:tcW w:type="dxa" w:w="9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INT-04</w:t>
            </w:r>
          </w:p>
        </w:tc>
        <w:tc>
          <w:tcPr>
            <w:tcW w:type="dxa" w:w="2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RBIS (Rwanda Biodiversity Information System)</w:t>
            </w:r>
          </w:p>
        </w:tc>
        <w:tc>
          <w:tcPr>
            <w:tcW w:type="dxa" w:w="1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Data feed</w:t>
            </w:r>
          </w:p>
        </w:tc>
        <w:tc>
          <w:tcPr>
            <w:tcW w:type="dxa" w:w="1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Inbound</w:t>
            </w:r>
          </w:p>
        </w:tc>
        <w:tc>
          <w:tcPr>
            <w:tcW w:type="dxa" w:w="1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HTTPS REST (Bearer token)</w:t>
            </w:r>
          </w:p>
        </w:tc>
        <w:tc>
          <w:tcPr>
            <w:tcW w:type="dxa" w:w="15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Should Have</w:t>
            </w:r>
          </w:p>
        </w:tc>
      </w:tr>
      <w:tr>
        <w:tc>
          <w:tcPr>
            <w:tcW w:type="dxa" w:w="9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INT-05</w:t>
            </w:r>
          </w:p>
        </w:tc>
        <w:tc>
          <w:tcPr>
            <w:tcW w:type="dxa" w:w="2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Supabase Storage</w:t>
            </w:r>
          </w:p>
        </w:tc>
        <w:tc>
          <w:tcPr>
            <w:tcW w:type="dxa" w:w="1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File/evidence storage</w:t>
            </w:r>
          </w:p>
        </w:tc>
        <w:tc>
          <w:tcPr>
            <w:tcW w:type="dxa" w:w="1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Bidirectional</w:t>
            </w:r>
          </w:p>
        </w:tc>
        <w:tc>
          <w:tcPr>
            <w:tcW w:type="dxa" w:w="1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HTTPS (S3-compatible)</w:t>
            </w:r>
          </w:p>
        </w:tc>
        <w:tc>
          <w:tcPr>
            <w:tcW w:type="dxa" w:w="15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Must Have</w:t>
            </w:r>
          </w:p>
        </w:tc>
      </w:tr>
      <w:tr>
        <w:tc>
          <w:tcPr>
            <w:tcW w:type="dxa" w:w="9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INT-06</w:t>
            </w:r>
          </w:p>
        </w:tc>
        <w:tc>
          <w:tcPr>
            <w:tcW w:type="dxa" w:w="2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GIS / GeoJSON map layers</w:t>
            </w:r>
          </w:p>
        </w:tc>
        <w:tc>
          <w:tcPr>
            <w:tcW w:type="dxa" w:w="1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Static reference data</w:t>
            </w:r>
          </w:p>
        </w:tc>
        <w:tc>
          <w:tcPr>
            <w:tcW w:type="dxa" w:w="1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Inbound</w:t>
            </w:r>
          </w:p>
        </w:tc>
        <w:tc>
          <w:tcPr>
            <w:tcW w:type="dxa" w:w="1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HTTPS (CDN static assets)</w:t>
            </w:r>
          </w:p>
        </w:tc>
        <w:tc>
          <w:tcPr>
            <w:tcW w:type="dxa" w:w="15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Must Have</w:t>
            </w:r>
          </w:p>
        </w:tc>
      </w:tr>
      <w:tr>
        <w:tc>
          <w:tcPr>
            <w:tcW w:type="dxa" w:w="9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INT-07</w:t>
            </w:r>
          </w:p>
        </w:tc>
        <w:tc>
          <w:tcPr>
            <w:tcW w:type="dxa" w:w="2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Government CBD reporting tools (future)</w:t>
            </w:r>
          </w:p>
        </w:tc>
        <w:tc>
          <w:tcPr>
            <w:tcW w:type="dxa" w:w="1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Document/Data exchange</w:t>
            </w:r>
          </w:p>
        </w:tc>
        <w:tc>
          <w:tcPr>
            <w:tcW w:type="dxa" w:w="1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Outbound</w:t>
            </w:r>
          </w:p>
        </w:tc>
        <w:tc>
          <w:tcPr>
            <w:tcW w:type="dxa" w:w="1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File export (CSV/PDF/JSON)</w:t>
            </w:r>
          </w:p>
        </w:tc>
        <w:tc>
          <w:tcPr>
            <w:tcW w:type="dxa" w:w="15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Could Have</w:t>
            </w:r>
          </w:p>
        </w:tc>
      </w:tr>
    </w:tbl>
    <w:p>
      <w:pPr>
        <w:pStyle w:val="Heading2"/>
      </w:pPr>
      <w:r>
        <w:t xml:space="preserve">6.2 Integration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ID</w:t>
            </w:r>
          </w:p>
        </w:tc>
        <w:tc>
          <w:tcPr>
            <w:tcW w:type="dxa" w:w="78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Requirement</w:t>
            </w:r>
          </w:p>
        </w:tc>
      </w:tr>
      <w:tr>
        <w:tc>
          <w:tcPr>
            <w:tcW w:type="dxa" w:w="1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INT-REQ-01</w:t>
            </w:r>
          </w:p>
        </w:tc>
        <w:tc>
          <w:tcPr>
            <w:tcW w:type="dxa" w:w="7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All external integrations shall use HTTPS; no integration shall transmit data over unencrypted HTTP</w:t>
            </w:r>
          </w:p>
        </w:tc>
      </w:tr>
      <w:tr>
        <w:tc>
          <w:tcPr>
            <w:tcW w:type="dxa" w:w="1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INT-REQ-02</w:t>
            </w:r>
          </w:p>
        </w:tc>
        <w:tc>
          <w:tcPr>
            <w:tcW w:type="dxa" w:w="7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API keys, bearer tokens, and service credentials shall be stored as environment secrets, never committed to source control</w:t>
            </w:r>
          </w:p>
        </w:tc>
      </w:tr>
      <w:tr>
        <w:tc>
          <w:tcPr>
            <w:tcW w:type="dxa" w:w="1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INT-REQ-03</w:t>
            </w:r>
          </w:p>
        </w:tc>
        <w:tc>
          <w:tcPr>
            <w:tcW w:type="dxa" w:w="7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Integration failures shall be logged and, for critical integrations, trigger an operational alert</w:t>
            </w:r>
          </w:p>
        </w:tc>
      </w:tr>
      <w:tr>
        <w:tc>
          <w:tcPr>
            <w:tcW w:type="dxa" w:w="1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INT-REQ-04</w:t>
            </w:r>
          </w:p>
        </w:tc>
        <w:tc>
          <w:tcPr>
            <w:tcW w:type="dxa" w:w="7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Outbound calls to rate-limited external APIs (e.g. GBIF) shall implement client-side rate limiting and retry logic</w:t>
            </w:r>
          </w:p>
        </w:tc>
      </w:tr>
      <w:tr>
        <w:tc>
          <w:tcPr>
            <w:tcW w:type="dxa" w:w="1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INT-REQ-05</w:t>
            </w:r>
          </w:p>
        </w:tc>
        <w:tc>
          <w:tcPr>
            <w:tcW w:type="dxa" w:w="7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Data received from external sources shall be validated before being rendered or stored</w:t>
            </w:r>
          </w:p>
        </w:tc>
      </w:tr>
    </w:tbl>
    <w:p>
      <w:r>
        <w:br w:type="page"/>
      </w:r>
    </w:p>
    <w:p>
      <w:pPr>
        <w:pStyle w:val="Heading1"/>
      </w:pPr>
      <w:r>
        <w:t xml:space="preserve">7. Data Requirements</w:t>
      </w:r>
    </w:p>
    <w:p>
      <w:pPr>
        <w:pStyle w:val="Heading2"/>
      </w:pPr>
      <w:r>
        <w:t xml:space="preserve">7.1 Core Data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000"/>
        <w:gridCol w:w="2360"/>
      </w:tblGrid>
      <w:tr>
        <w:trPr>
          <w:tblHeader/>
        </w:trPr>
        <w:tc>
          <w:tcPr>
            <w:tcW w:type="dxa" w:w="18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Entity</w:t>
            </w:r>
          </w:p>
        </w:tc>
        <w:tc>
          <w:tcPr>
            <w:tcW w:type="dxa" w:w="22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Description</w:t>
            </w:r>
          </w:p>
        </w:tc>
        <w:tc>
          <w:tcPr>
            <w:tcW w:type="dxa" w:w="30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Key Attributes</w:t>
            </w:r>
          </w:p>
        </w:tc>
        <w:tc>
          <w:tcPr>
            <w:tcW w:type="dxa" w:w="23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Relationships</w:t>
            </w:r>
          </w:p>
        </w:tc>
      </w:tr>
      <w:tr>
        <w:tc>
          <w:tcPr>
            <w:tcW w:type="dxa" w:w="1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User / Profile</w:t>
            </w:r>
          </w:p>
        </w:tc>
        <w:tc>
          <w:tcPr>
            <w:tcW w:type="dxa" w:w="2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 registered system user with an assigned role</w:t>
            </w:r>
          </w:p>
        </w:tc>
        <w:tc>
          <w:tcPr>
            <w:tcW w:type="dxa" w:w="3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id, email, full_name, role, organisation, status</w:t>
            </w:r>
          </w:p>
        </w:tc>
        <w:tc>
          <w:tcPr>
            <w:tcW w:type="dxa" w:w="23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Has many Reports; has many Audit Log entries</w:t>
            </w:r>
          </w:p>
        </w:tc>
      </w:tr>
      <w:tr>
        <w:tc>
          <w:tcPr>
            <w:tcW w:type="dxa" w:w="1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Report (toolkit_reports)</w:t>
            </w:r>
          </w:p>
        </w:tc>
        <w:tc>
          <w:tcPr>
            <w:tcW w:type="dxa" w:w="2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 structured submission under one of the T01-T07 tools</w:t>
            </w:r>
          </w:p>
        </w:tc>
        <w:tc>
          <w:tcPr>
            <w:tcW w:type="dxa" w:w="3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id, tool_type, district_id, form_data (JSONB), status, submitted_by, reviewed_by</w:t>
            </w:r>
          </w:p>
        </w:tc>
        <w:tc>
          <w:tcPr>
            <w:tcW w:type="dxa" w:w="23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Belongs to User (submitter, reviewer); has many Attachments</w:t>
            </w:r>
          </w:p>
        </w:tc>
      </w:tr>
      <w:tr>
        <w:tc>
          <w:tcPr>
            <w:tcW w:type="dxa" w:w="1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Attachment</w:t>
            </w:r>
          </w:p>
        </w:tc>
        <w:tc>
          <w:tcPr>
            <w:tcW w:type="dxa" w:w="2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Evidence file linked to a report</w:t>
            </w:r>
          </w:p>
        </w:tc>
        <w:tc>
          <w:tcPr>
            <w:tcW w:type="dxa" w:w="3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id, report_id, file_url, file_type, uploaded_at</w:t>
            </w:r>
          </w:p>
        </w:tc>
        <w:tc>
          <w:tcPr>
            <w:tcW w:type="dxa" w:w="23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Belongs to Report</w:t>
            </w:r>
          </w:p>
        </w:tc>
      </w:tr>
      <w:tr>
        <w:tc>
          <w:tcPr>
            <w:tcW w:type="dxa" w:w="1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Audit Log Entry</w:t>
            </w:r>
          </w:p>
        </w:tc>
        <w:tc>
          <w:tcPr>
            <w:tcW w:type="dxa" w:w="2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Immutable record of a significant system action</w:t>
            </w:r>
          </w:p>
        </w:tc>
        <w:tc>
          <w:tcPr>
            <w:tcW w:type="dxa" w:w="3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id, user_id, action, table_name, record_id, timestamp</w:t>
            </w:r>
          </w:p>
        </w:tc>
        <w:tc>
          <w:tcPr>
            <w:tcW w:type="dxa" w:w="23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Belongs to User</w:t>
            </w:r>
          </w:p>
        </w:tc>
      </w:tr>
      <w:tr>
        <w:tc>
          <w:tcPr>
            <w:tcW w:type="dxa" w:w="1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Notification</w:t>
            </w:r>
          </w:p>
        </w:tc>
        <w:tc>
          <w:tcPr>
            <w:tcW w:type="dxa" w:w="2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Per-user alert about a relevant system event</w:t>
            </w:r>
          </w:p>
        </w:tc>
        <w:tc>
          <w:tcPr>
            <w:tcW w:type="dxa" w:w="3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id, user_id, type, message, is_read, created_at</w:t>
            </w:r>
          </w:p>
        </w:tc>
        <w:tc>
          <w:tcPr>
            <w:tcW w:type="dxa" w:w="23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Belongs to User</w:t>
            </w:r>
          </w:p>
        </w:tc>
      </w:tr>
      <w:tr>
        <w:tc>
          <w:tcPr>
            <w:tcW w:type="dxa" w:w="1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Reference / Lookup (district, target, indicator)</w:t>
            </w:r>
          </w:p>
        </w:tc>
        <w:tc>
          <w:tcPr>
            <w:tcW w:type="dxa" w:w="2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Static or semi-static reference data underpinning reports and dashboards</w:t>
            </w:r>
          </w:p>
        </w:tc>
        <w:tc>
          <w:tcPr>
            <w:tcW w:type="dxa" w:w="3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id, name, code, parent references</w:t>
            </w:r>
          </w:p>
        </w:tc>
        <w:tc>
          <w:tcPr>
            <w:tcW w:type="dxa" w:w="23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Referenced by Reports and Indicators</w:t>
            </w:r>
          </w:p>
        </w:tc>
      </w:tr>
    </w:tbl>
    <w:p>
      <w:pPr>
        <w:pStyle w:val="Heading2"/>
      </w:pPr>
      <w:r>
        <w:t xml:space="preserve">7.2 Data Quality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ID</w:t>
            </w:r>
          </w:p>
        </w:tc>
        <w:tc>
          <w:tcPr>
            <w:tcW w:type="dxa" w:w="78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Requirement</w:t>
            </w:r>
          </w:p>
        </w:tc>
      </w:tr>
      <w:tr>
        <w:tc>
          <w:tcPr>
            <w:tcW w:type="dxa" w:w="1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DQ-01</w:t>
            </w:r>
          </w:p>
        </w:tc>
        <w:tc>
          <w:tcPr>
            <w:tcW w:type="dxa" w:w="7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Mandatory fields shall be enforced at both the form layer and the database constraint layer</w:t>
            </w:r>
          </w:p>
        </w:tc>
      </w:tr>
      <w:tr>
        <w:tc>
          <w:tcPr>
            <w:tcW w:type="dxa" w:w="1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DQ-02</w:t>
            </w:r>
          </w:p>
        </w:tc>
        <w:tc>
          <w:tcPr>
            <w:tcW w:type="dxa" w:w="7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Date fields shall be stored and exchanged in ISO 8601 format (YYYY-MM-DD)</w:t>
            </w:r>
          </w:p>
        </w:tc>
      </w:tr>
      <w:tr>
        <w:tc>
          <w:tcPr>
            <w:tcW w:type="dxa" w:w="1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DQ-03</w:t>
            </w:r>
          </w:p>
        </w:tc>
        <w:tc>
          <w:tcPr>
            <w:tcW w:type="dxa" w:w="7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Email fields shall be validated against RFC 5322 syntax and checked for uniqueness on user creation</w:t>
            </w:r>
          </w:p>
        </w:tc>
      </w:tr>
      <w:tr>
        <w:tc>
          <w:tcPr>
            <w:tcW w:type="dxa" w:w="1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DQ-04</w:t>
            </w:r>
          </w:p>
        </w:tc>
        <w:tc>
          <w:tcPr>
            <w:tcW w:type="dxa" w:w="7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Numeric fields (hectares, budgets, counts) shall enforce defined precision (typically 2 decimal places) and valid ranges</w:t>
            </w:r>
          </w:p>
        </w:tc>
      </w:tr>
      <w:tr>
        <w:tc>
          <w:tcPr>
            <w:tcW w:type="dxa" w:w="1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DQ-05</w:t>
            </w:r>
          </w:p>
        </w:tc>
        <w:tc>
          <w:tcPr>
            <w:tcW w:type="dxa" w:w="7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Free-text fields shall enforce a documented maximum length appropriate to the field's purpose</w:t>
            </w:r>
          </w:p>
        </w:tc>
      </w:tr>
      <w:tr>
        <w:tc>
          <w:tcPr>
            <w:tcW w:type="dxa" w:w="1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DQ-06</w:t>
            </w:r>
          </w:p>
        </w:tc>
        <w:tc>
          <w:tcPr>
            <w:tcW w:type="dxa" w:w="7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The system shall flag likely duplicate submissions based on matching district, tool, and reporting period</w:t>
            </w:r>
          </w:p>
        </w:tc>
      </w:tr>
      <w:tr>
        <w:tc>
          <w:tcPr>
            <w:tcW w:type="dxa" w:w="1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DQ-07</w:t>
            </w:r>
          </w:p>
        </w:tc>
        <w:tc>
          <w:tcPr>
            <w:tcW w:type="dxa" w:w="7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Every record shall carry CreatedAt, CreatedBy, UpdatedAt, and UpdatedBy metadata fields</w:t>
            </w:r>
          </w:p>
        </w:tc>
      </w:tr>
    </w:tbl>
    <w:p>
      <w:pPr>
        <w:pStyle w:val="Heading2"/>
      </w:pPr>
      <w:r>
        <w:t xml:space="preserve">7.3 Data Retention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4060"/>
      </w:tblGrid>
      <w:tr>
        <w:trPr>
          <w:tblHeader/>
        </w:trPr>
        <w:tc>
          <w:tcPr>
            <w:tcW w:type="dxa" w:w="28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Data Category</w:t>
            </w:r>
          </w:p>
        </w:tc>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Retention Period</w:t>
            </w:r>
          </w:p>
        </w:tc>
        <w:tc>
          <w:tcPr>
            <w:tcW w:type="dxa" w:w="40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Post-Retention Action</w:t>
            </w:r>
          </w:p>
        </w:tc>
      </w:tr>
      <w:tr>
        <w:tc>
          <w:tcPr>
            <w:tcW w:type="dxa" w:w="2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Active reports &amp; indicators</w:t>
            </w:r>
          </w:p>
        </w:tc>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Duration of NBSAP 2025-2030 period (minimum)</w:t>
            </w:r>
          </w:p>
        </w:tc>
        <w:tc>
          <w:tcPr>
            <w:tcW w:type="dxa" w:w="40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Reviewed for archival, not deleted</w:t>
            </w:r>
          </w:p>
        </w:tc>
      </w:tr>
      <w:tr>
        <w:tc>
          <w:tcPr>
            <w:tcW w:type="dxa" w:w="2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Audit logs</w:t>
            </w:r>
          </w:p>
        </w:tc>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Indefinite</w:t>
            </w:r>
          </w:p>
        </w:tc>
        <w:tc>
          <w:tcPr>
            <w:tcW w:type="dxa" w:w="40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Retained for regulatory compliance</w:t>
            </w:r>
          </w:p>
        </w:tc>
      </w:tr>
      <w:tr>
        <w:tc>
          <w:tcPr>
            <w:tcW w:type="dxa" w:w="2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Authentication logs</w:t>
            </w:r>
          </w:p>
        </w:tc>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12 months minimum</w:t>
            </w:r>
          </w:p>
        </w:tc>
        <w:tc>
          <w:tcPr>
            <w:tcW w:type="dxa" w:w="40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Reviewed and archived</w:t>
            </w:r>
          </w:p>
        </w:tc>
      </w:tr>
      <w:tr>
        <w:tc>
          <w:tcPr>
            <w:tcW w:type="dxa" w:w="2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Database backups</w:t>
            </w:r>
          </w:p>
        </w:tc>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7 days (free tier) / 30 days (pro tier)</w:t>
            </w:r>
          </w:p>
        </w:tc>
        <w:tc>
          <w:tcPr>
            <w:tcW w:type="dxa" w:w="40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Rolling deletion of oldest backup</w:t>
            </w:r>
          </w:p>
        </w:tc>
      </w:tr>
      <w:tr>
        <w:tc>
          <w:tcPr>
            <w:tcW w:type="dxa" w:w="2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Archived/superseded records</w:t>
            </w:r>
          </w:p>
        </w:tc>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Indefinite, in archived state</w:t>
            </w:r>
          </w:p>
        </w:tc>
        <w:tc>
          <w:tcPr>
            <w:tcW w:type="dxa" w:w="40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Retained read-only, excluded from active dashboards</w:t>
            </w:r>
          </w:p>
        </w:tc>
      </w:tr>
    </w:tbl>
    <w:p>
      <w:pPr>
        <w:pStyle w:val="Heading2"/>
      </w:pPr>
      <w:r>
        <w:t xml:space="preserve">7.4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rPr>
          <w:tblHeader/>
        </w:trPr>
        <w:tc>
          <w:tcPr>
            <w:tcW w:type="dxa" w:w="22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Source</w:t>
            </w:r>
          </w:p>
        </w:tc>
        <w:tc>
          <w:tcPr>
            <w:tcW w:type="dxa" w:w="20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Type</w:t>
            </w:r>
          </w:p>
        </w:tc>
        <w:tc>
          <w:tcPr>
            <w:tcW w:type="dxa" w:w="20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Frequency</w:t>
            </w:r>
          </w:p>
        </w:tc>
        <w:tc>
          <w:tcPr>
            <w:tcW w:type="dxa" w:w="31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Description</w:t>
            </w:r>
          </w:p>
        </w:tc>
      </w:tr>
      <w:tr>
        <w:tc>
          <w:tcPr>
            <w:tcW w:type="dxa" w:w="2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Manual Entry</w:t>
            </w:r>
          </w:p>
        </w:tc>
        <w:tc>
          <w:tcPr>
            <w:tcW w:type="dxa" w:w="2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Structured forms</w:t>
            </w:r>
          </w:p>
        </w:tc>
        <w:tc>
          <w:tcPr>
            <w:tcW w:type="dxa" w:w="2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Quarterly / Ad hoc</w:t>
            </w:r>
          </w:p>
        </w:tc>
        <w:tc>
          <w:tcPr>
            <w:tcW w:type="dxa" w:w="31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T01-T07 reporting toolkit submissions</w:t>
            </w:r>
          </w:p>
        </w:tc>
      </w:tr>
      <w:tr>
        <w:tc>
          <w:tcPr>
            <w:tcW w:type="dxa" w:w="2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GBIF API</w:t>
            </w:r>
          </w:p>
        </w:tc>
        <w:tc>
          <w:tcPr>
            <w:tcW w:type="dxa" w:w="2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Automated feed</w:t>
            </w:r>
          </w:p>
        </w:tc>
        <w:tc>
          <w:tcPr>
            <w:tcW w:type="dxa" w:w="2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Real-time</w:t>
            </w:r>
          </w:p>
        </w:tc>
        <w:tc>
          <w:tcPr>
            <w:tcW w:type="dxa" w:w="31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Species occurrence records for Rwanda</w:t>
            </w:r>
          </w:p>
        </w:tc>
      </w:tr>
      <w:tr>
        <w:tc>
          <w:tcPr>
            <w:tcW w:type="dxa" w:w="2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RBIS API</w:t>
            </w:r>
          </w:p>
        </w:tc>
        <w:tc>
          <w:tcPr>
            <w:tcW w:type="dxa" w:w="2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Automated feed</w:t>
            </w:r>
          </w:p>
        </w:tc>
        <w:tc>
          <w:tcPr>
            <w:tcW w:type="dxa" w:w="2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Real-time</w:t>
            </w:r>
          </w:p>
        </w:tc>
        <w:tc>
          <w:tcPr>
            <w:tcW w:type="dxa" w:w="31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Rwanda Biodiversity Information System data streams</w:t>
            </w:r>
          </w:p>
        </w:tc>
      </w:tr>
      <w:tr>
        <w:tc>
          <w:tcPr>
            <w:tcW w:type="dxa" w:w="2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GeoJSON Files</w:t>
            </w:r>
          </w:p>
        </w:tc>
        <w:tc>
          <w:tcPr>
            <w:tcW w:type="dxa" w:w="2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Static reference</w:t>
            </w:r>
          </w:p>
        </w:tc>
        <w:tc>
          <w:tcPr>
            <w:tcW w:type="dxa" w:w="2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At deployment</w:t>
            </w:r>
          </w:p>
        </w:tc>
        <w:tc>
          <w:tcPr>
            <w:tcW w:type="dxa" w:w="31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District boundaries, protected areas, rivers, lakes</w:t>
            </w:r>
          </w:p>
        </w:tc>
      </w:tr>
    </w:tbl>
    <w:p>
      <w:r>
        <w:br w:type="page"/>
      </w:r>
    </w:p>
    <w:p>
      <w:pPr>
        <w:pStyle w:val="Heading1"/>
      </w:pPr>
      <w:r>
        <w:t xml:space="preserve">8. Constraints &amp; Assumptions</w:t>
      </w:r>
    </w:p>
    <w:p>
      <w:pPr>
        <w:pStyle w:val="Heading2"/>
      </w:pPr>
      <w:r>
        <w:t xml:space="preserve">8.1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Constraint</w:t>
            </w:r>
          </w:p>
        </w:tc>
        <w:tc>
          <w:tcPr>
            <w:tcW w:type="dxa" w:w="69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Description</w:t>
            </w:r>
          </w:p>
        </w:tc>
      </w:tr>
      <w:tr>
        <w:tc>
          <w:tcPr>
            <w:tcW w:type="dxa" w:w="2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Budget</w:t>
            </w:r>
          </w:p>
        </w:tc>
        <w:tc>
          <w:tcPr>
            <w:tcW w:type="dxa" w:w="69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System designed for minimal operational cost, using free/low-tier cloud services (Supabase, Vercel)</w:t>
            </w:r>
          </w:p>
        </w:tc>
      </w:tr>
      <w:tr>
        <w:tc>
          <w:tcPr>
            <w:tcW w:type="dxa" w:w="2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Connectivity</w:t>
            </w:r>
          </w:p>
        </w:tc>
        <w:tc>
          <w:tcPr>
            <w:tcW w:type="dxa" w:w="69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Users in some districts may have limited bandwidth; the system is optimised for low-bandwidth conditions</w:t>
            </w:r>
          </w:p>
        </w:tc>
      </w:tr>
      <w:tr>
        <w:tc>
          <w:tcPr>
            <w:tcW w:type="dxa" w:w="2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Browser support</w:t>
            </w:r>
          </w:p>
        </w:tc>
        <w:tc>
          <w:tcPr>
            <w:tcW w:type="dxa" w:w="69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Internet Explorer 11 is not supported; modern browsers required (Chrome 90+, Firefox 88+, Safari 14+, Edge 90+)</w:t>
            </w:r>
          </w:p>
        </w:tc>
      </w:tr>
      <w:tr>
        <w:tc>
          <w:tcPr>
            <w:tcW w:type="dxa" w:w="2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Language</w:t>
            </w:r>
          </w:p>
        </w:tc>
        <w:tc>
          <w:tcPr>
            <w:tcW w:type="dxa" w:w="69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The current release is delivered in English only</w:t>
            </w:r>
          </w:p>
        </w:tc>
      </w:tr>
    </w:tbl>
    <w:p>
      <w:pPr>
        <w:pStyle w:val="Heading2"/>
      </w:pPr>
      <w:r>
        <w:t xml:space="preserve">8.2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Assumption</w:t>
            </w:r>
          </w:p>
        </w:tc>
        <w:tc>
          <w:tcPr>
            <w:tcW w:type="dxa" w:w="55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Rationale</w:t>
            </w:r>
          </w:p>
        </w:tc>
      </w:tr>
      <w:tr>
        <w:tc>
          <w:tcPr>
            <w:tcW w:type="dxa" w:w="3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District officers have internet access</w:t>
            </w:r>
          </w:p>
        </w:tc>
        <w:tc>
          <w:tcPr>
            <w:tcW w:type="dxa" w:w="55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Rwanda's national broadband coverage exceeds 95% of urban areas</w:t>
            </w:r>
          </w:p>
        </w:tc>
      </w:tr>
      <w:tr>
        <w:tc>
          <w:tcPr>
            <w:tcW w:type="dxa" w:w="3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REMA will designate system administrators</w:t>
            </w:r>
          </w:p>
        </w:tc>
        <w:tc>
          <w:tcPr>
            <w:tcW w:type="dxa" w:w="55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Ongoing user and data management requires institutional commitment</w:t>
            </w:r>
          </w:p>
        </w:tc>
      </w:tr>
      <w:tr>
        <w:tc>
          <w:tcPr>
            <w:tcW w:type="dxa" w:w="3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GBIF API will remain publicly accessible</w:t>
            </w:r>
          </w:p>
        </w:tc>
        <w:tc>
          <w:tcPr>
            <w:tcW w:type="dxa" w:w="55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GBIF is a multilateral research infrastructure with long-term funding</w:t>
            </w:r>
          </w:p>
        </w:tc>
      </w:tr>
      <w:tr>
        <w:tc>
          <w:tcPr>
            <w:tcW w:type="dxa" w:w="3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Supabase will maintain service availability</w:t>
            </w:r>
          </w:p>
        </w:tc>
        <w:tc>
          <w:tcPr>
            <w:tcW w:type="dxa" w:w="55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Supabase provides managed PostgreSQL with a 99.9% uptime SLA</w:t>
            </w:r>
          </w:p>
        </w:tc>
      </w:tr>
    </w:tbl>
    <w:p>
      <w:r>
        <w:br w:type="page"/>
      </w:r>
    </w:p>
    <w:p>
      <w:pPr>
        <w:pStyle w:val="Heading1"/>
      </w:pPr>
      <w:r>
        <w:t xml:space="preserve">9. Acceptance Criteria Summary</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200"/>
        <w:gridCol w:w="6560"/>
      </w:tblGrid>
      <w:tr>
        <w:trPr>
          <w:tblHeader/>
        </w:trPr>
        <w:tc>
          <w:tcPr>
            <w:tcW w:type="dxa" w:w="22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Category</w:t>
            </w:r>
          </w:p>
        </w:tc>
        <w:tc>
          <w:tcPr>
            <w:tcW w:type="dxa" w:w="65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Criterion</w:t>
            </w:r>
          </w:p>
        </w:tc>
      </w:tr>
      <w:tr>
        <w:tc>
          <w:tcPr>
            <w:tcW w:type="dxa" w:w="2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Authentication</w:t>
            </w:r>
          </w:p>
        </w:tc>
        <w:tc>
          <w:tcPr>
            <w:tcW w:type="dxa" w:w="65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Users can register, log in, and maintain sessions without re-authentication</w:t>
            </w:r>
          </w:p>
        </w:tc>
      </w:tr>
      <w:tr>
        <w:tc>
          <w:tcPr>
            <w:tcW w:type="dxa" w:w="2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RBAC</w:t>
            </w:r>
          </w:p>
        </w:tc>
        <w:tc>
          <w:tcPr>
            <w:tcW w:type="dxa" w:w="65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Each of the 6 roles can access only their authorised pages and actions</w:t>
            </w:r>
          </w:p>
        </w:tc>
      </w:tr>
      <w:tr>
        <w:tc>
          <w:tcPr>
            <w:tcW w:type="dxa" w:w="2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Reporting</w:t>
            </w:r>
          </w:p>
        </w:tc>
        <w:tc>
          <w:tcPr>
            <w:tcW w:type="dxa" w:w="65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All 7 reporting tools (T01-T07) accept, validate, and store submissions</w:t>
            </w:r>
          </w:p>
        </w:tc>
      </w:tr>
      <w:tr>
        <w:tc>
          <w:tcPr>
            <w:tcW w:type="dxa" w:w="2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Verification</w:t>
            </w:r>
          </w:p>
        </w:tc>
        <w:tc>
          <w:tcPr>
            <w:tcW w:type="dxa" w:w="65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The approval/rejection workflow operates correctly with automatic metric update</w:t>
            </w:r>
          </w:p>
        </w:tc>
      </w:tr>
      <w:tr>
        <w:tc>
          <w:tcPr>
            <w:tcW w:type="dxa" w:w="2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Dashboard</w:t>
            </w:r>
          </w:p>
        </w:tc>
        <w:tc>
          <w:tcPr>
            <w:tcW w:type="dxa" w:w="65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The executive dashboard displays all 13 automated metrics accurately</w:t>
            </w:r>
          </w:p>
        </w:tc>
      </w:tr>
      <w:tr>
        <w:tc>
          <w:tcPr>
            <w:tcW w:type="dxa" w:w="2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Map</w:t>
            </w:r>
          </w:p>
        </w:tc>
        <w:tc>
          <w:tcPr>
            <w:tcW w:type="dxa" w:w="65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The interactive map renders all 30 districts with toggleable GeoJSON layers</w:t>
            </w:r>
          </w:p>
        </w:tc>
      </w:tr>
      <w:tr>
        <w:tc>
          <w:tcPr>
            <w:tcW w:type="dxa" w:w="2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Export</w:t>
            </w:r>
          </w:p>
        </w:tc>
        <w:tc>
          <w:tcPr>
            <w:tcW w:type="dxa" w:w="65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CSV, PDF, and JSON exports produce correct, complete data</w:t>
            </w:r>
          </w:p>
        </w:tc>
      </w:tr>
      <w:tr>
        <w:tc>
          <w:tcPr>
            <w:tcW w:type="dxa" w:w="2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Audit</w:t>
            </w:r>
          </w:p>
        </w:tc>
        <w:tc>
          <w:tcPr>
            <w:tcW w:type="dxa" w:w="65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The audit log records all significant system actions immutably</w:t>
            </w:r>
          </w:p>
        </w:tc>
      </w:tr>
      <w:tr>
        <w:tc>
          <w:tcPr>
            <w:tcW w:type="dxa" w:w="2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Performance</w:t>
            </w:r>
          </w:p>
        </w:tc>
        <w:tc>
          <w:tcPr>
            <w:tcW w:type="dxa" w:w="65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The system loads within 3 seconds and supports 500 concurrent users</w:t>
            </w:r>
          </w:p>
        </w:tc>
      </w:tr>
      <w:tr>
        <w:tc>
          <w:tcPr>
            <w:tcW w:type="dxa" w:w="2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Security</w:t>
            </w:r>
          </w:p>
        </w:tc>
        <w:tc>
          <w:tcPr>
            <w:tcW w:type="dxa" w:w="65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RLS, HTTPS, CSP headers, and JWT authentication are all operational</w:t>
            </w:r>
          </w:p>
        </w:tc>
      </w:tr>
    </w:tbl>
    <w:p>
      <w:r>
        <w:br w:type="page"/>
      </w:r>
    </w:p>
    <w:p>
      <w:pPr>
        <w:pStyle w:val="Heading1"/>
      </w:pPr>
      <w:r>
        <w:t xml:space="preserve">10. Document Approval</w:t>
      </w:r>
    </w:p>
    <w:p>
      <w:pPr>
        <w:spacing w:after="120" w:line="300"/>
      </w:pPr>
      <w:r>
        <w:rPr>
          <w:b w:val="false"/>
          <w:bCs w:val="false"/>
          <w:i w:val="false"/>
          <w:iCs w:val="false"/>
          <w:color w:val="000000"/>
          <w:sz w:val="22"/>
          <w:szCs w:val="22"/>
          <w:rFonts w:ascii="Arial" w:cs="Arial" w:eastAsia="Arial" w:hAnsi="Arial"/>
        </w:rPr>
        <w:t xml:space="preserve">The undersigned confirm that this Requirements Specification Document has been reviewed and is approved as the authoritative reference for the Rwanda NBSAP Monitoring Dashboard.</w:t>
      </w:r>
    </w:p>
    <w:p>
      <w:pPr>
        <w:spacing w:after="120"/>
      </w:pPr>
      <w:r>
        <w:rPr>
          <w:sz w:val="2"/>
          <w:szCs w:val="2"/>
        </w:r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860"/>
      </w:tblGrid>
      <w:tr>
        <w:trPr>
          <w:tblHeader/>
        </w:trPr>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Role</w:t>
            </w:r>
          </w:p>
        </w:tc>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Name</w:t>
            </w:r>
          </w:p>
        </w:tc>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Signature</w:t>
            </w:r>
          </w:p>
        </w:tc>
        <w:tc>
          <w:tcPr>
            <w:tcW w:type="dxa" w:w="18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Date</w:t>
            </w:r>
          </w:p>
        </w:tc>
      </w:tr>
      <w:tr>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Prepared by</w:t>
            </w:r>
          </w:p>
        </w:tc>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Joe Karanga</w:t>
            </w:r>
          </w:p>
        </w:tc>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r>
          </w:p>
        </w:tc>
        <w:tc>
          <w:tcPr>
            <w:tcW w:type="dxa" w:w="1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r>
          </w:p>
        </w:tc>
      </w:tr>
      <w:tr>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Reviewed by</w:t>
            </w:r>
          </w:p>
        </w:tc>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r>
          </w:p>
        </w:tc>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r>
          </w:p>
        </w:tc>
        <w:tc>
          <w:tcPr>
            <w:tcW w:type="dxa" w:w="1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r>
          </w:p>
        </w:tc>
      </w:tr>
      <w:tr>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Approved by (REMA)</w:t>
            </w:r>
          </w:p>
        </w:tc>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r>
          </w:p>
        </w:tc>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r>
          </w:p>
        </w:tc>
        <w:tc>
          <w:tcPr>
            <w:tcW w:type="dxa" w:w="1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r>
          </w:p>
        </w:tc>
      </w:tr>
      <w:tr>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Approved by (Ministry of Environment)</w:t>
            </w:r>
          </w:p>
        </w:tc>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r>
          </w:p>
        </w:tc>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r>
          </w:p>
        </w:tc>
        <w:tc>
          <w:tcPr>
            <w:tcW w:type="dxa" w:w="1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B4" w:sz="6" w:space="4"/>
      </w:pBdr>
      <w:jc w:val="center"/>
    </w:pPr>
    <w:r>
      <w:rPr>
        <w:color w:val="444444"/>
        <w:sz w:val="16"/>
        <w:szCs w:val="16"/>
        <w:rFonts w:ascii="Arial" w:cs="Arial" w:eastAsia="Arial" w:hAnsi="Arial"/>
      </w:rPr>
      <w:t xml:space="preserve">Page </w:t>
    </w:r>
    <w:r>
      <w:rPr>
        <w:color w:val="444444"/>
        <w:sz w:val="16"/>
        <w:szCs w:val="16"/>
        <w:rFonts w:ascii="Arial" w:cs="Arial" w:eastAsia="Arial" w:hAnsi="Arial"/>
      </w:rPr>
      <w:fldChar w:fldCharType="begin"/>
      <w:instrText xml:space="preserve">PAGE</w:instrText>
      <w:fldChar w:fldCharType="separate"/>
      <w:fldChar w:fldCharType="end"/>
    </w:r>
    <w:r>
      <w:rPr>
        <w:color w:val="444444"/>
        <w:sz w:val="16"/>
        <w:szCs w:val="16"/>
        <w:rFonts w:ascii="Arial" w:cs="Arial" w:eastAsia="Arial" w:hAnsi="Arial"/>
      </w:rPr>
      <w:t xml:space="preserve"> of </w:t>
    </w:r>
    <w:r>
      <w:rPr>
        <w:color w:val="444444"/>
        <w:sz w:val="16"/>
        <w:szCs w:val="16"/>
        <w:rFonts w:ascii="Arial" w:cs="Arial" w:eastAsia="Arial" w:hAnsi="Arial"/>
      </w:rPr>
      <w:fldChar w:fldCharType="begin"/>
      <w:instrText xml:space="preserve">NUMPAGES</w:instrText>
      <w:fldChar w:fldCharType="separate"/>
      <w:fldChar w:fldCharType="end"/>
    </w:r>
    <w:r>
      <w:rPr>
        <w:color w:val="444444"/>
        <w:sz w:val="16"/>
        <w:szCs w:val="16"/>
        <w:rFonts w:ascii="Arial" w:cs="Arial" w:eastAsia="Arial" w:hAnsi="Arial"/>
      </w:rPr>
      <w:t xml:space="preserve">  |  Rwanda NBSAP Monitoring Dashboard  |  Version 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B4" w:sz="6" w:space="4"/>
      </w:pBdr>
      <w:tabs>
        <w:tab w:val="right" w:pos="9360"/>
      </w:tabs>
    </w:pPr>
    <w:r>
      <w:rPr>
        <w:b/>
        <w:bCs/>
        <w:color w:val="1F4E8C"/>
        <w:sz w:val="18"/>
        <w:szCs w:val="18"/>
        <w:rFonts w:ascii="Arial" w:cs="Arial" w:eastAsia="Arial" w:hAnsi="Arial"/>
      </w:rPr>
      <w:t xml:space="preserve">Requirements Specification Document (RS)</w:t>
    </w:r>
    <w:r>
      <w:rPr>
        <w:i/>
        <w:iCs/>
        <w:color w:val="444444"/>
        <w:sz w:val="18"/>
        <w:szCs w:val="18"/>
        <w:rFonts w:ascii="Arial" w:cs="Arial" w:eastAsia="Arial" w:hAnsi="Arial"/>
      </w:rPr>
      <w:t xml:space="preserve">	Confidential Internal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rPr>
        <w:color w:val="444444"/>
        <w:rFonts w:ascii="Arial" w:cs="Arial" w:eastAsia="Arial" w:hAnsi="Arial"/>
      </w:rPr>
    </w:lvl>
    <w:lvl w:ilvl="1" w15:tentative="1">
      <w:start w:val="1"/>
      <w:numFmt w:val="bullet"/>
      <w:lvlText w:val="○"/>
      <w:lvlJc w:val="left"/>
      <w:pPr>
        <w:ind w:left="960" w:hanging="240"/>
      </w:pPr>
      <w:rPr>
        <w:color w:val="444444"/>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480" w:hanging="240"/>
      </w:pPr>
    </w:lvl>
    <w:lvl w:ilvl="1" w15:tentative="1">
      <w:start w:val="1"/>
      <w:numFmt w:val="lowerLetter"/>
      <w:lvlText w:val="%2)"/>
      <w:lvlJc w:val="left"/>
      <w:pPr>
        <w:ind w:left="9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000000"/>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b/>
      <w:bCs/>
      <w:color w:val="1F4E8C"/>
      <w:sz w:val="32"/>
      <w:szCs w:val="32"/>
      <w:rFonts w:ascii="Arial" w:cs="Arial" w:eastAsia="Arial" w:hAnsi="Arial"/>
    </w:rPr>
  </w:style>
  <w:style w:type="paragraph" w:styleId="Heading2">
    <w:name w:val="Heading 2"/>
    <w:basedOn w:val="Normal"/>
    <w:next w:val="Normal"/>
    <w:qFormat/>
    <w:pPr>
      <w:pBdr>
        <w:bottom w:val="single" w:color="2E6DB4" w:sz="6" w:space="4"/>
      </w:pBdr>
      <w:spacing w:before="240" w:after="120"/>
      <w:outlineLvl w:val="1"/>
    </w:pPr>
    <w:rPr>
      <w:b/>
      <w:bCs/>
      <w:color w:val="2E6DB4"/>
      <w:sz w:val="26"/>
      <w:szCs w:val="26"/>
      <w:rFonts w:ascii="Arial" w:cs="Arial" w:eastAsia="Arial" w:hAnsi="Arial"/>
    </w:rPr>
  </w:style>
  <w:style w:type="paragraph" w:styleId="Heading3">
    <w:name w:val="Heading 3"/>
    <w:basedOn w:val="Normal"/>
    <w:next w:val="Normal"/>
    <w:qFormat/>
    <w:pPr>
      <w:spacing w:before="180" w:after="80"/>
      <w:outlineLvl w:val="2"/>
    </w:pPr>
    <w:rPr>
      <w:b/>
      <w:bCs/>
      <w:color w:val="444444"/>
      <w:sz w:val="22"/>
      <w:szCs w:val="22"/>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2026-06-20T11:51:34.859Z</dcterms:created>
  <dcterms:modified xsi:type="dcterms:W3CDTF">2026-06-20T11:51:34.859Z</dcterms:modified>
</cp:coreProperties>
</file>

<file path=docProps/custom.xml><?xml version="1.0" encoding="utf-8"?>
<Properties xmlns="http://schemas.openxmlformats.org/officeDocument/2006/custom-properties" xmlns:vt="http://schemas.openxmlformats.org/officeDocument/2006/docPropsVTypes"/>
</file>