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4E8C"/>
          <w:sz w:val="104"/>
          <w:szCs w:val="104"/>
          <w:rFonts w:ascii="Arial" w:cs="Arial" w:eastAsia="Arial" w:hAnsi="Arial"/>
        </w:rPr>
        <w:t xml:space="preserve">System Architecture Document</w:t>
      </w:r>
    </w:p>
    <w:p>
      <w:pPr>
        <w:pBdr>
          <w:bottom w:val="single" w:color="2E6DB4" w:sz="8" w:space="8"/>
        </w:pBdr>
        <w:spacing w:after="300"/>
        <w:jc w:val="center"/>
      </w:pPr>
      <w:r>
        <w:rPr>
          <w:i/>
          <w:iCs/>
          <w:color w:val="444444"/>
          <w:sz w:val="56"/>
          <w:szCs w:val="56"/>
          <w:rFonts w:ascii="Arial" w:cs="Arial" w:eastAsia="Arial" w:hAnsi="Arial"/>
        </w:rPr>
        <w:t xml:space="preserve">Rwanda NBSAP Monitoring Dashboard 2025-2030</w:t>
      </w:r>
    </w:p>
    <w:p>
      <w:pPr>
        <w:spacing w:after="300"/>
      </w:pPr>
      <w:r>
        <w:rPr>
          <w:sz w:val="2"/>
          <w:szCs w:val="2"/>
        </w:rPr>
      </w:r>
    </w:p>
    <w:p>
      <w:pPr>
        <w:spacing w:after="80"/>
        <w:jc w:val="center"/>
      </w:pPr>
      <w:r>
        <w:rPr>
          <w:color w:val="444444"/>
          <w:sz w:val="22"/>
          <w:szCs w:val="22"/>
          <w:rFonts w:ascii="Arial" w:cs="Arial" w:eastAsia="Arial" w:hAnsi="Arial"/>
        </w:rPr>
        <w:t xml:space="preserve">Document Reference: NBSAP-SAD-2026-005</w:t>
      </w:r>
    </w:p>
    <w:p>
      <w:pPr>
        <w:spacing w:after="80"/>
        <w:jc w:val="center"/>
      </w:pPr>
      <w:r>
        <w:rPr>
          <w:color w:val="444444"/>
          <w:sz w:val="22"/>
          <w:szCs w:val="22"/>
          <w:rFonts w:ascii="Arial" w:cs="Arial" w:eastAsia="Arial" w:hAnsi="Arial"/>
        </w:rPr>
        <w:t xml:space="preserve">Version: 1.0</w:t>
      </w:r>
    </w:p>
    <w:p>
      <w:pPr>
        <w:spacing w:after="80"/>
        <w:jc w:val="center"/>
      </w:pPr>
      <w:r>
        <w:rPr>
          <w:color w:val="444444"/>
          <w:sz w:val="22"/>
          <w:szCs w:val="22"/>
          <w:rFonts w:ascii="Arial" w:cs="Arial" w:eastAsia="Arial" w:hAnsi="Arial"/>
        </w:rPr>
        <w:t xml:space="preserve">Date: 20 June 2026</w:t>
      </w:r>
    </w:p>
    <w:p>
      <w:pPr>
        <w:spacing w:after="80"/>
        <w:jc w:val="center"/>
      </w:pPr>
      <w:r>
        <w:rPr>
          <w:color w:val="444444"/>
          <w:sz w:val="22"/>
          <w:szCs w:val="22"/>
          <w:rFonts w:ascii="Arial" w:cs="Arial" w:eastAsia="Arial" w:hAnsi="Arial"/>
        </w:rPr>
        <w:t xml:space="preserve">Prepared by: Joe Karanga</w:t>
      </w:r>
    </w:p>
    <w:p>
      <w:pPr>
        <w:spacing w:after="80"/>
        <w:jc w:val="center"/>
      </w:pPr>
      <w:r>
        <w:rPr>
          <w:color w:val="444444"/>
          <w:sz w:val="22"/>
          <w:szCs w:val="22"/>
          <w:rFonts w:ascii="Arial" w:cs="Arial" w:eastAsia="Arial" w:hAnsi="Arial"/>
        </w:rPr>
        <w:t xml:space="preserve">Status: Draft</w:t>
      </w:r>
    </w:p>
    <w:p>
      <w:pPr>
        <w:spacing w:after="80"/>
        <w:jc w:val="center"/>
      </w:pPr>
      <w:r>
        <w:rPr>
          <w:color w:val="444444"/>
          <w:sz w:val="22"/>
          <w:szCs w:val="22"/>
          <w:rFonts w:ascii="Arial" w:cs="Arial" w:eastAsia="Arial" w:hAnsi="Arial"/>
        </w:rPr>
        <w:t xml:space="preserve">Classification: Confidential — REMA Internal Use</w:t>
      </w:r>
    </w:p>
    <w:p>
      <w:r>
        <w:br w:type="page"/>
      </w:r>
    </w:p>
    <w:p>
      <w:pPr>
        <w:pStyle w:val="Heading1"/>
      </w:pPr>
      <w:r>
        <w:t xml:space="preserve">1. Architecture Overview</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System Architecture Document (SAD) describes how the Rwanda NBSAP Monitoring Dashboard is built: its technology stack, application architecture, database design, and infrastructure topology. It is intended for system architects, developers, DevOps/infrastructure staff, and government ICT auditors who need to understand, operate, or extend the platform.</w:t>
      </w:r>
    </w:p>
    <w:p>
      <w:pPr>
        <w:pStyle w:val="Heading2"/>
      </w:pPr>
      <w:r>
        <w:t xml:space="preserve">1.2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Principle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Serverless-first</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Eliminates server provisioning and maintenance burden through Backend-as-a-Service (Supabase); pay-per-use cost model</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Security by Design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on every table, JWT authentication, HTTPS everywhere, and security headers applied by default</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Automation over Manual</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triggers compute national metrics automatically; no human-run calculations or spreadsheet formulas</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Visibility</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push (Supabase Realtime) ensures all connected dashboards reflect current system state</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Availability</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CDN-distributed frontend (Vercel) loads quickly for users anywhere, including low-bandwidth districts</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Cost Efficiency / Open Standards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Built on free/low-tier managed cloud services and open standards (REST, PostgreSQL, GeoJSON) to minimise total cost of ownership for REMA</w:t>
            </w:r>
          </w:p>
        </w:tc>
      </w:tr>
    </w:tbl>
    <w:p>
      <w:pPr>
        <w:pStyle w:val="Heading2"/>
      </w:pPr>
      <w:r>
        <w:t xml:space="preserve">1.3 Architecture Decision Record</w:t>
      </w:r>
    </w:p>
    <w:p>
      <w:pPr>
        <w:spacing w:after="120" w:line="300"/>
      </w:pPr>
      <w:r>
        <w:rPr>
          <w:b w:val="false"/>
          <w:bCs w:val="false"/>
          <w:i w:val="false"/>
          <w:iCs w:val="false"/>
          <w:color w:val="000000"/>
          <w:sz w:val="22"/>
          <w:szCs w:val="22"/>
          <w:rFonts w:ascii="Arial" w:cs="Arial" w:eastAsia="Arial" w:hAnsi="Arial"/>
        </w:rPr>
        <w:t xml:space="preserve">The table below records the major architectural choices made during the system's design, the alternatives considered, and the rationale for the final decision. This is preserved so future maintainers understand why the stack looks the way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900"/>
        <w:gridCol w:w="2860"/>
      </w:tblGrid>
      <w:tr>
        <w:trPr>
          <w:tblHeader/>
        </w:trPr>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Decision</w:t>
            </w:r>
          </w:p>
        </w:tc>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Options Considered</w:t>
            </w:r>
          </w:p>
        </w:tc>
        <w:tc>
          <w:tcPr>
            <w:tcW w:type="dxa" w:w="19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Chosen</w:t>
            </w:r>
          </w:p>
        </w:tc>
        <w:tc>
          <w:tcPr>
            <w:tcW w:type="dxa" w:w="2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Rationale</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Backend approach</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Custom Node.js API / Django / BaaS</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(BaaS)</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server management; built-in Auth, RLS, Realtime, and Storage out of the box</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framework</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 Vue / Angular</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18</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Largest ecosystem; strong component reuse; mature TypeScript support</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Build tool</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Webpack / Vite</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Faster builds; native ES module support; simpler configuration</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MySQL / MongoDB / PostgreSQL</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15</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support; JSONB for flexible report payloads; proven at scale</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Hosting</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AWS / Azure / Vercel</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Git-push deploy; global CDN; generous free tier; optimised for React SPAs</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 library</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Google Maps / Mapbox / Leaflet</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Leaflet.js</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Open source; no API key required; lightweight; mature ecosystem</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 library</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D3.js / Chart.js / Recharts</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Recharts (+ Chart.js)</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React-native declarative API; responsive; sensible defaults</w:t>
            </w:r>
          </w:p>
        </w:tc>
      </w:tr>
    </w:tbl>
    <w:p>
      <w:r>
        <w:br w:type="page"/>
      </w:r>
    </w:p>
    <w:p>
      <w:pPr>
        <w:pStyle w:val="Heading1"/>
      </w:pPr>
      <w:r>
        <w:t xml:space="preserve">2. Technology Stack</w:t>
      </w:r>
    </w:p>
    <w:p>
      <w:pPr>
        <w:pStyle w:val="Heading2"/>
      </w:pPr>
      <w:r>
        <w:t xml:space="preserve">2.1 Full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Layer</w:t>
            </w:r>
          </w:p>
        </w:tc>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Technology / Tool</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Version</w:t>
            </w:r>
          </w:p>
        </w:tc>
        <w:tc>
          <w:tcPr>
            <w:tcW w:type="dxa" w:w="27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Purpose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Framework</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18.2</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Component-based UI framework</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Language</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5.2</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type checking across ~15,000+ lines of code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Build Tool</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5.0.8</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 server and production bundler</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UI Component / Icon Library</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Lucide React + FontAwesome Free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0.263 / 7.2</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Icon system used across all pages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State Management</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Zustand + React Context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4.4.7</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state management and auth context</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Routing</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Router DOM</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6.21</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routing with protected routes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Mapping / GIS</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Leaflet.js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Interactive map of districts, protected areas, rivers, lakes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Charts / Visualisation</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Chart.js + react-chartjs-2 / Recharts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4.4.1 / 5.2.0</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 trend and target progress visualisation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Toast Notifications</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react-hot-toast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2.4.1</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user notifications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PDF / Export</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jsPDF, pptxgenjs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4.2.1 / 4.0.1</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PDF and PowerPoint export</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Backend / Database</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(via Supabase)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15</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Primary relational data store with JSONB and RLS support</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Backend-as-a-Service</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Cloud-managed</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 Realtime, Storage, Edge Functions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Auth (GoTrue)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JWT-based authentication and session management</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 Push</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Realtime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push for live dashboard updates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 (S3-compatible)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evidence and attachment storage</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 Functions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Edge Functions (Deno)</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proxy to avoid CORS issues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External Species Data</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v1</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species occurrence data for Rwanda</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External Biodiversity Data</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 (rbis.ur.ac.rw)</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v1</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Biodiversity Information System data streams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Hosting / CDN</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Cloud</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CDN frontend hosting with automatic HTTPS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CI/CD</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Build Pipeline + GitHub</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Cloud</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Git-push-to-deploy automated pipeline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Version Control</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 / GitHub</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code management and deployment trigger</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Testing</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Vitest + @testing-library/react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4.1.8 / 16.3.2</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Unit and component testing</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Linting / Type Safety</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ESLint + TypeScript ESLint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8.55 / 6.14</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Code quality and static analysis</w:t>
            </w:r>
          </w:p>
        </w:tc>
      </w:tr>
    </w:tbl>
    <w:p>
      <w:r>
        <w:br w:type="page"/>
      </w:r>
    </w:p>
    <w:p>
      <w:pPr>
        <w:pStyle w:val="Heading1"/>
      </w:pPr>
      <w:r>
        <w:t xml:space="preserve">3. Application Architecture</w:t>
      </w:r>
    </w:p>
    <w:p>
      <w:pPr>
        <w:pStyle w:val="Heading2"/>
      </w:pPr>
      <w: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CLIENT LAYER                                                   |</w:t>
            </w:r>
          </w:p>
          <w:p>
            <w:pPr>
              <w:spacing w:after="0"/>
            </w:pPr>
            <w:r>
              <w:rPr>
                <w:color w:val="444444"/>
                <w:sz w:val="16"/>
                <w:szCs w:val="16"/>
                <w:rFonts w:ascii="Courier New" w:cs="Courier New" w:eastAsia="Courier New" w:hAnsi="Courier New"/>
              </w:rPr>
              <w:t xml:space="preserve">|   Browser / Mobile -&gt; React 18 SPA (TypeScript + Vite) -&gt; CDN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  HTTPS</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GATEWAY LAYER (Vercel Edge / Nginx-equivalent)                 |</w:t>
            </w:r>
          </w:p>
          <w:p>
            <w:pPr>
              <w:spacing w:after="0"/>
            </w:pPr>
            <w:r>
              <w:rPr>
                <w:color w:val="444444"/>
                <w:sz w:val="16"/>
                <w:szCs w:val="16"/>
                <w:rFonts w:ascii="Courier New" w:cs="Courier New" w:eastAsia="Courier New" w:hAnsi="Courier New"/>
              </w:rPr>
              <w:t xml:space="preserve">|   SSL termination, global load balancing, basic rate limiting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APPLICATION LAYER (Supabase-managed services)                  |</w:t>
            </w:r>
          </w:p>
          <w:p>
            <w:pPr>
              <w:spacing w:after="0"/>
            </w:pPr>
            <w:r>
              <w:rPr>
                <w:color w:val="444444"/>
                <w:sz w:val="16"/>
                <w:szCs w:val="16"/>
                <w:rFonts w:ascii="Courier New" w:cs="Courier New" w:eastAsia="Courier New" w:hAnsi="Courier New"/>
              </w:rPr>
              <w:t xml:space="preserve">|   Auth Module | Business Logic (DB functions) | Integration    |</w:t>
            </w:r>
          </w:p>
          <w:p>
            <w:pPr>
              <w:spacing w:after="0"/>
            </w:pPr>
            <w:r>
              <w:rPr>
                <w:color w:val="444444"/>
                <w:sz w:val="16"/>
                <w:szCs w:val="16"/>
                <w:rFonts w:ascii="Courier New" w:cs="Courier New" w:eastAsia="Courier New" w:hAnsi="Courier New"/>
              </w:rPr>
              <w:t xml:space="preserve">|   Services (GBIF proxy, RBIS client)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DATA LAYER                                                      |</w:t>
            </w:r>
          </w:p>
          <w:p>
            <w:pPr>
              <w:spacing w:after="0"/>
            </w:pPr>
            <w:r>
              <w:rPr>
                <w:color w:val="444444"/>
                <w:sz w:val="16"/>
                <w:szCs w:val="16"/>
                <w:rFonts w:ascii="Courier New" w:cs="Courier New" w:eastAsia="Courier New" w:hAnsi="Courier New"/>
              </w:rPr>
              <w:t xml:space="preserve">|   PostgreSQL 15 (primary + managed backups) | Supabase Storage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BACKGROUND SERVICES                                             |</w:t>
            </w:r>
          </w:p>
          <w:p>
            <w:pPr>
              <w:spacing w:after="0"/>
            </w:pPr>
            <w:r>
              <w:rPr>
                <w:color w:val="444444"/>
                <w:sz w:val="16"/>
                <w:szCs w:val="16"/>
                <w:rFonts w:ascii="Courier New" w:cs="Courier New" w:eastAsia="Courier New" w:hAnsi="Courier New"/>
              </w:rPr>
              <w:t xml:space="preserve">|   DB Triggers (metric calc) | Edge Functions | Notification     |</w:t>
            </w:r>
          </w:p>
          <w:p>
            <w:pPr>
              <w:spacing w:after="0"/>
            </w:pPr>
            <w:r>
              <w:rPr>
                <w:color w:val="444444"/>
                <w:sz w:val="16"/>
                <w:szCs w:val="16"/>
                <w:rFonts w:ascii="Courier New" w:cs="Courier New" w:eastAsia="Courier New" w:hAnsi="Courier New"/>
              </w:rPr>
              <w:t xml:space="preserve">|   Dispatcher (Realtime)                                          |</w:t>
            </w:r>
          </w:p>
          <w:p>
            <w:pPr>
              <w:spacing w:after="0"/>
            </w:pPr>
            <w:r>
              <w:rPr>
                <w:color w:val="444444"/>
                <w:sz w:val="16"/>
                <w:szCs w:val="16"/>
                <w:rFonts w:ascii="Courier New" w:cs="Courier New" w:eastAsia="Courier New" w:hAnsi="Courier New"/>
              </w:rPr>
              <w:t xml:space="preserve">+---------------------------------------------------------------+</w:t>
            </w:r>
          </w:p>
          <w:p>
            <w:pPr>
              <w:spacing w:before="120"/>
            </w:pPr>
            <w:r>
              <w:rPr>
                <w:i/>
                <w:iCs/>
                <w:color w:val="444444"/>
                <w:sz w:val="18"/>
                <w:szCs w:val="18"/>
                <w:rFonts w:ascii="Arial" w:cs="Arial" w:eastAsia="Arial" w:hAnsi="Arial"/>
              </w:rPr>
              <w:t xml:space="preserve">Note: This is a simplified text representation. Replace with a formal architecture diagram (draw.io, Lucidchart, Visio, or Figma) for the final published document.</w:t>
            </w:r>
          </w:p>
        </w:tc>
      </w:tr>
    </w:tbl>
    <w:p>
      <w:pPr>
        <w:pStyle w:val="Heading2"/>
      </w:pPr>
      <w:r>
        <w:t xml:space="preserve">3.2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6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Pages / Routes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16 lazy-loaded page components (Dashboard, Targets, Indicators, Map, Reporting Toolkit, Verification Queue, Reports, RBIS, Compliance, Risk, Stakeholders, Pipeline, Users, Role Requests, Settings, Adaptive Management)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Component Structure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Organised by domain folders: common/, map/, panels/, rbis/, plus shared ErrorBoundary, ProtectedRoute, and form components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State Management</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Context (AuthContext) for auth/session state; Zustand for cross-page application state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Communication</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JS client wrapping REST + WebSocket calls; custom service modules (dataService, rbisService) encapsulate query logic</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 Handling</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Controlled React forms with client-side validation utilities (utils/validation.ts) before submission</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 Flow</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access + refresh tokens managed by Supabase Auth client; session state mirrored into AuthContext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Lazy Loading</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page component is route-based code-split via React.lazy(), reducing initial bundle size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Accessibility</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ARIA labels on interactive elements; colour-contrast-conscious green/amber/red status system targeting WCAG 2.1 AA</w:t>
            </w:r>
          </w:p>
        </w:tc>
      </w:tr>
    </w:tbl>
    <w:p>
      <w:pPr>
        <w:pStyle w:val="Heading2"/>
      </w:pPr>
      <w:r>
        <w:t xml:space="preserve">3.3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6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Design</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auto-generated RESTful API over PostgreSQL, versioned via Supabase project configuration</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Access Layer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modules (dataService.ts, rbisService.ts, systemMetricsService.ts) act as the application's repository layer over the Supabase client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Logic Layer</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Implemented primarily as PostgreSQL functions and triggers (10+ functions) so core rules are enforced regardless of client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Validation Layer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dataValidationService.ts performs pre-submission validation; database CHECK constraints provide a second enforcement layer</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Middleware Equivalent</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(RLS) policies act as server-side authorisation middleware on every table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 Handling</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errorHandling.ts centralises client-side error normalisation; Supabase error codes mapped to user-facing messages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Background Jobs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triggers fire asynchronously on report approval/deletion to update metrics; Realtime channel dispatches notifications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Logging</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 table records all significant actions; client errors forwarded to a centralised monitoring service</w:t>
            </w:r>
          </w:p>
        </w:tc>
      </w:tr>
    </w:tbl>
    <w:p>
      <w:r>
        <w:br w:type="page"/>
      </w:r>
    </w:p>
    <w:p>
      <w:pPr>
        <w:pStyle w:val="Heading1"/>
      </w:pPr>
      <w:r>
        <w:t xml:space="preserve">4. Database Architecture</w:t>
      </w:r>
    </w:p>
    <w:p>
      <w:pPr>
        <w:pStyle w:val="Heading2"/>
      </w:pPr>
      <w:r>
        <w:t xml:space="preserve">4.1 Database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Details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Engine</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15 (Supabase managed)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Tables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18 tables, fully covered by Row-Level Security (25+ policies)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Schema Management</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22 sequentially numbered SQL migration files, version-controlled in the repository</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Automation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7 database triggers and 10+ database functions automate metric calculation and notifications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Backup Strategy</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Daily automated backups (Supabase managed); 7-30 day retention depending on tier</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Handling</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Supabase-managed connection pooling (PgBouncer)</w:t>
            </w:r>
          </w:p>
        </w:tc>
      </w:tr>
    </w:tbl>
    <w:p>
      <w:pPr>
        <w:pStyle w:val="Heading2"/>
      </w:pPr>
      <w:r>
        <w:t xml:space="preserve">4.2 Core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Table Name</w:t>
            </w:r>
          </w:p>
        </w:tc>
        <w:tc>
          <w:tcPr>
            <w:tcW w:type="dxa" w:w="3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Key Columns</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(FK auth.users), email, full_name, role, organisation, status, created_at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accounts, roles, and organisational metadata</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roles / permission maps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role_key, label, can_submit, can_approve, can_view_audit</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RBAC permission definitions per role</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target_number, goal, title, baseline, target_2030, progress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22 NBSAP 2025-2030 national targets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tool_type, district_id, form_data (JSONB), status, submitted_by, reviewed_by, created_at</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T01-T07 structured report submissions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report_attachments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report_id (FK), file_url, file_type, uploaded_at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files linked to a report</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audit_log</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action, table_name, record_id, timestamp</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append-only action history</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type, message, is_read, created_at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Per-user in-app and real-time alerts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 / lookup_values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name, tier, nbsap_target_id, baseline, current_value, status</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~80 biodiversity indicators and reference lookups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sessions (Supabase Auth managed)</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created_at, refreshed_at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authentication session tracking</w:t>
            </w:r>
          </w:p>
        </w:tc>
      </w:tr>
    </w:tbl>
    <w:p>
      <w:pPr>
        <w:pStyle w:val="Heading2"/>
      </w:pPr>
      <w:r>
        <w:t xml:space="preserve">4.3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READ FLOW:</w:t>
            </w:r>
          </w:p>
          <w:p>
            <w:pPr>
              <w:spacing w:after="0"/>
            </w:pPr>
            <w:r>
              <w:rPr>
                <w:color w:val="444444"/>
                <w:sz w:val="16"/>
                <w:szCs w:val="16"/>
                <w:rFonts w:ascii="Courier New" w:cs="Courier New" w:eastAsia="Courier New" w:hAnsi="Courier New"/>
              </w:rPr>
              <w:t xml:space="preserve">User -&gt; Frontend -&gt; Supabase JS Client -&gt; Vercel Edge -&gt; Supabase REST API</w:t>
            </w:r>
          </w:p>
          <w:p>
            <w:pPr>
              <w:spacing w:after="0"/>
            </w:pPr>
            <w:r>
              <w:rPr>
                <w:color w:val="444444"/>
                <w:sz w:val="16"/>
                <w:szCs w:val="16"/>
                <w:rFonts w:ascii="Courier New" w:cs="Courier New" w:eastAsia="Courier New" w:hAnsi="Courier New"/>
              </w:rPr>
              <w:t xml:space="preserve">  -&gt; RLS Check -&gt; PostgreSQL Query -&gt; Response -&gt; React Query/Zustand Cache</w:t>
            </w:r>
          </w:p>
          <w:p>
            <w:pPr>
              <w:spacing w:after="0"/>
            </w:pPr>
            <w:r>
              <w:rPr>
                <w:color w:val="444444"/>
                <w:sz w:val="16"/>
                <w:szCs w:val="16"/>
                <w:rFonts w:ascii="Courier New" w:cs="Courier New" w:eastAsia="Courier New" w:hAnsi="Courier New"/>
              </w:rPr>
              <w:t xml:space="preserve">  -&gt; UI Render</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WRITE FLOW:</w:t>
            </w:r>
          </w:p>
          <w:p>
            <w:pPr>
              <w:spacing w:after="0"/>
            </w:pPr>
            <w:r>
              <w:rPr>
                <w:color w:val="444444"/>
                <w:sz w:val="16"/>
                <w:szCs w:val="16"/>
                <w:rFonts w:ascii="Courier New" w:cs="Courier New" w:eastAsia="Courier New" w:hAnsi="Courier New"/>
              </w:rPr>
              <w:t xml:space="preserve">Form Submit -&gt; Frontend Validation -&gt; Supabase Client -&gt; Auth + RLS Check</w:t>
            </w:r>
          </w:p>
          <w:p>
            <w:pPr>
              <w:spacing w:after="0"/>
            </w:pPr>
            <w:r>
              <w:rPr>
                <w:color w:val="444444"/>
                <w:sz w:val="16"/>
                <w:szCs w:val="16"/>
                <w:rFonts w:ascii="Courier New" w:cs="Courier New" w:eastAsia="Courier New" w:hAnsi="Courier New"/>
              </w:rPr>
              <w:t xml:space="preserve">  -&gt; Business Logic (DB Function) -&gt; Transaction -&gt; PostgreSQL Write</w:t>
            </w:r>
          </w:p>
          <w:p>
            <w:pPr>
              <w:spacing w:after="0"/>
            </w:pPr>
            <w:r>
              <w:rPr>
                <w:color w:val="444444"/>
                <w:sz w:val="16"/>
                <w:szCs w:val="16"/>
                <w:rFonts w:ascii="Courier New" w:cs="Courier New" w:eastAsia="Courier New" w:hAnsi="Courier New"/>
              </w:rPr>
              <w:t xml:space="preserve">  -&gt; Audit Log Insert -&gt; Trigger Fires (metric update) -&gt; Commit</w:t>
            </w:r>
          </w:p>
          <w:p>
            <w:pPr>
              <w:spacing w:after="0"/>
            </w:pPr>
            <w:r>
              <w:rPr>
                <w:color w:val="444444"/>
                <w:sz w:val="16"/>
                <w:szCs w:val="16"/>
                <w:rFonts w:ascii="Courier New" w:cs="Courier New" w:eastAsia="Courier New" w:hAnsi="Courier New"/>
              </w:rPr>
              <w:t xml:space="preserve">  -&gt; Realtime Channel (notification) -&gt; Response -&gt; UI Update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FILE UPLOAD FLOW:</w:t>
            </w:r>
          </w:p>
          <w:p>
            <w:pPr>
              <w:spacing w:after="0"/>
            </w:pPr>
            <w:r>
              <w:rPr>
                <w:color w:val="444444"/>
                <w:sz w:val="16"/>
                <w:szCs w:val="16"/>
                <w:rFonts w:ascii="Courier New" w:cs="Courier New" w:eastAsia="Courier New" w:hAnsi="Courier New"/>
              </w:rPr>
              <w:t xml:space="preserve">File Select -&gt; Frontend Pre-validation (type/size) -&gt; Multipart Upload</w:t>
            </w:r>
          </w:p>
          <w:p>
            <w:pPr>
              <w:spacing w:after="0"/>
            </w:pPr>
            <w:r>
              <w:rPr>
                <w:color w:val="444444"/>
                <w:sz w:val="16"/>
                <w:szCs w:val="16"/>
                <w:rFonts w:ascii="Courier New" w:cs="Courier New" w:eastAsia="Courier New" w:hAnsi="Courier New"/>
              </w:rPr>
              <w:t xml:space="preserve">  -&gt; Supabase Storage Write -&gt; Access Policy Check -&gt; DB Metadata Insert</w:t>
            </w:r>
          </w:p>
          <w:p>
            <w:pPr>
              <w:spacing w:after="0"/>
            </w:pPr>
            <w:r>
              <w:rPr>
                <w:color w:val="444444"/>
                <w:sz w:val="16"/>
                <w:szCs w:val="16"/>
                <w:rFonts w:ascii="Courier New" w:cs="Courier New" w:eastAsia="Courier New" w:hAnsi="Courier New"/>
              </w:rPr>
              <w:t xml:space="preserve">  (report_attachments) -&gt; Signed URL Returned -&gt; UI Confirmation</w:t>
            </w:r>
          </w:p>
        </w:tc>
      </w:tr>
    </w:tbl>
    <w:p>
      <w:r>
        <w:br w:type="page"/>
      </w:r>
    </w:p>
    <w:p>
      <w:pPr>
        <w:pStyle w:val="Heading2"/>
      </w:pPr>
      <w:r>
        <w:t xml:space="preserve">4.4 Entity-Relationship Diagrams</w:t>
      </w:r>
    </w:p>
    <w:p>
      <w:pPr>
        <w:spacing w:after="120" w:line="300"/>
      </w:pPr>
      <w:r>
        <w:rPr>
          <w:b w:val="false"/>
          <w:bCs w:val="false"/>
          <w:i w:val="false"/>
          <w:iCs w:val="false"/>
          <w:color w:val="000000"/>
          <w:sz w:val="22"/>
          <w:szCs w:val="22"/>
          <w:rFonts w:ascii="Arial" w:cs="Arial" w:eastAsia="Arial" w:hAnsi="Arial"/>
        </w:rPr>
        <w:t xml:space="preserve">The complete schema spans 19 production tables plus the Supabase-managed auth.users table. To keep each diagram legible on a portrait page, the schema is presented below as four domain-scoped entity-relationship diagrams. Each table is rendered with its full, unabridged column list and PostgreSQL data type — no column has been omitted or summarised. PK denotes a primary key; FK denotes a foreign key; shaded rows mark key columns. Solid arrows represent enforced foreign-key relationships; dashed arrows represent automated/trigger-driven data flows; dotted arrows represent denormalised text-based linkages (e.g. district name) used for reporting convenience rather than referential integrity. A single consolidated diagram showing all 20 tables together, at full resolution, is provided in Appendix A for formal review and government submission purposes.</w:t>
      </w:r>
    </w:p>
    <w:p>
      <w:pPr>
        <w:pStyle w:val="Heading3"/>
      </w:pPr>
      <w:r>
        <w:t xml:space="preserve">4.4.1 Core NBSAP Domain</w:t>
      </w:r>
    </w:p>
    <w:p>
      <w:pPr>
        <w:spacing w:after="120" w:line="300"/>
      </w:pPr>
      <w:r>
        <w:rPr>
          <w:b w:val="false"/>
          <w:bCs w:val="false"/>
          <w:i w:val="false"/>
          <w:iCs w:val="false"/>
          <w:color w:val="000000"/>
          <w:sz w:val="22"/>
          <w:szCs w:val="22"/>
          <w:rFonts w:ascii="Arial" w:cs="Arial" w:eastAsia="Arial" w:hAnsi="Arial"/>
        </w:rPr>
        <w:t xml:space="preserve">The heart of the schema: national targets are measured by indicators, evidenced by toolkit reports, and rolled up automatically into system metrics whenever a report is approved.</w:t>
      </w:r>
    </w:p>
    <w:p>
      <w:pPr>
        <w:spacing w:before="120" w:after="60"/>
        <w:jc w:val="center"/>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95450"/>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4.1 — Core NBSAP Domain: Targets, Indicators &amp; Reporting</w:t>
      </w:r>
    </w:p>
    <w:p>
      <w:pPr>
        <w:pStyle w:val="Heading3"/>
      </w:pPr>
      <w:r>
        <w:t xml:space="preserve">4.4.2 User Identity &amp; Access Control</w:t>
      </w:r>
    </w:p>
    <w:p>
      <w:pPr>
        <w:spacing w:after="120" w:line="300"/>
      </w:pPr>
      <w:r>
        <w:rPr>
          <w:b w:val="false"/>
          <w:bCs w:val="false"/>
          <w:i w:val="false"/>
          <w:iCs w:val="false"/>
          <w:color w:val="000000"/>
          <w:sz w:val="22"/>
          <w:szCs w:val="22"/>
          <w:rFonts w:ascii="Arial" w:cs="Arial" w:eastAsia="Arial" w:hAnsi="Arial"/>
        </w:rPr>
        <w:t xml:space="preserve">Every authenticated user has exactly one profile, which fans out 1:1 into personal settings and notification preferences, and 1:N into notifications, role-change requests, and the immutable audit trail.</w:t>
      </w:r>
    </w:p>
    <w:p>
      <w:pPr>
        <w:spacing w:before="120" w:after="6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57375"/>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4.2 — User Identity &amp; Access Control</w:t>
      </w:r>
    </w:p>
    <w:p>
      <w:pPr>
        <w:pStyle w:val="Heading3"/>
      </w:pPr>
      <w:r>
        <w:t xml:space="preserve">4.4.3 Reporting &amp; AI Extraction Pipeline</w:t>
      </w:r>
    </w:p>
    <w:p>
      <w:pPr>
        <w:spacing w:after="120" w:line="300"/>
      </w:pPr>
      <w:r>
        <w:rPr>
          <w:b w:val="false"/>
          <w:bCs w:val="false"/>
          <w:i w:val="false"/>
          <w:iCs w:val="false"/>
          <w:color w:val="000000"/>
          <w:sz w:val="22"/>
          <w:szCs w:val="22"/>
          <w:rFonts w:ascii="Arial" w:cs="Arial" w:eastAsia="Arial" w:hAnsi="Arial"/>
        </w:rPr>
        <w:t xml:space="preserve">Each submitted toolkit report can carry multiple evidence attachments and triggers exactly one AI document-extraction job, which in turn can generate multiple proposed data updates for human review.</w:t>
      </w:r>
    </w:p>
    <w:p>
      <w:pPr>
        <w:spacing w:before="120" w:after="6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90675"/>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4.3 — Reporting &amp; AI Extraction Pipeline</w:t>
      </w:r>
    </w:p>
    <w:p>
      <w:pPr>
        <w:pStyle w:val="Heading3"/>
      </w:pPr>
      <w:r>
        <w:t xml:space="preserve">4.4.4 Geographic Reference Data</w:t>
      </w:r>
    </w:p>
    <w:p>
      <w:pPr>
        <w:spacing w:after="120" w:line="300"/>
      </w:pPr>
      <w:r>
        <w:rPr>
          <w:b w:val="false"/>
          <w:bCs w:val="false"/>
          <w:i w:val="false"/>
          <w:iCs w:val="false"/>
          <w:color w:val="000000"/>
          <w:sz w:val="22"/>
          <w:szCs w:val="22"/>
          <w:rFonts w:ascii="Arial" w:cs="Arial" w:eastAsia="Arial" w:hAnsi="Arial"/>
        </w:rPr>
        <w:t xml:space="preserve">Rwanda's 5 provinces and 30 districts form the geographic backbone referenced (mostly by denormalised district name, for query simplicity) throughout the reporting and compliance tables.</w:t>
      </w:r>
    </w:p>
    <w:p>
      <w:pPr>
        <w:spacing w:before="120" w:after="60"/>
        <w:jc w:val="center"/>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95450"/>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4.4 — Geographic Reference Data</w:t>
      </w:r>
    </w:p>
    <w:p>
      <w:r>
        <w:br w:type="page"/>
      </w:r>
    </w:p>
    <w:p>
      <w:pPr>
        <w:pStyle w:val="Heading3"/>
      </w:pPr>
      <w:r>
        <w:t xml:space="preserve">4.4.5 Key Cardinalities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Relationship</w:t>
            </w:r>
          </w:p>
        </w:tc>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Cardinality</w:t>
            </w:r>
          </w:p>
        </w:tc>
        <w:tc>
          <w:tcPr>
            <w:tcW w:type="dxa" w:w="47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auth.users -&gt; profiles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Auto-created on signup via database trigger</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user_settings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Auto-created on signup</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notification_preferences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Auto-created on signup</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provinces -&gt; districts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5 provinces, 30 districts</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 -&gt; indicators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 target -&gt; 2-4 component indicators plus 1 headline indicator</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 -&gt; toolkit_reports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Each report optionally links to one target</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-&gt; report_attachments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Attachment metadata is also mirrored into a JSONB column</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-&gt; ai_extractions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One AI extraction job per submitted report</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ai_extractions -&gt; ai_extraction_proposals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Multiple proposed field updates per extraction</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toolkit_reports (submitted)</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user can submit many reports over time</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toolkit_reports (reviewed)</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reviewer can approve/reject many reports</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audit_log</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significant user action is logged</w:t>
            </w:r>
          </w:p>
        </w:tc>
      </w:tr>
    </w:tbl>
    <w:p>
      <w:r>
        <w:br w:type="page"/>
      </w:r>
    </w:p>
    <w:p>
      <w:pPr>
        <w:pStyle w:val="Heading1"/>
      </w:pPr>
      <w:r>
        <w:t xml:space="preserve">5. Infrastructure Architecture</w:t>
      </w:r>
    </w:p>
    <w:p>
      <w:pPr>
        <w:pStyle w:val="Heading2"/>
      </w:pPr>
      <w:r>
        <w:t xml:space="preserve">5.1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Technology</w:t>
            </w:r>
          </w:p>
        </w:tc>
        <w:tc>
          <w:tcPr>
            <w:tcW w:type="dxa" w:w="4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Configuration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 Server / Edge Proxy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Edge Network</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Automatic SSL, global CDN, 200+ edge locations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 Hosting</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(static SPA build)</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Git-push auto-deploy from main branch</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Supabase-managed PostgreSQL 15</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Primary instance with daily automated backup</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Service</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Realtime</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channel-based push, scoped by RLS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 (S3-compatible)</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Private buckets with access-policy-controlled URLs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 Functions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Edge Functions (Deno)</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proxy function, deployed alongside the database project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CDN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global CDN</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Content-hashed static asset caching, 1-year cache headers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CI/CD</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Build Pipeline</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npm install -&gt; vite build -&gt; deploy on every git push</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Monitoring</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Analytics + Supabase Dashboard</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Build/deploy status, query performance, error rates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Version Control</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GitHub</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of truth; webhook triggers the Vercel build</w:t>
            </w:r>
          </w:p>
        </w:tc>
      </w:tr>
    </w:tbl>
    <w:p>
      <w:pPr>
        <w:pStyle w:val="Heading2"/>
      </w:pPr>
      <w:r>
        <w:t xml:space="preserve">5.2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Layer</w:t>
            </w:r>
          </w:p>
        </w:tc>
        <w:tc>
          <w:tcPr>
            <w:tcW w:type="dxa" w:w="7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Security Control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Network</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Vercel/Supabase managed network perimeter; no self-managed servers to patch or expose</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Transport</w:t>
            </w:r>
          </w:p>
        </w:tc>
        <w:tc>
          <w:tcPr>
            <w:tcW w:type="dxa" w:w="7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TLS 1.2+ enforced on all connections; HSTS headers; automatic certificate renewal (Vercel)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authentication, Role-Based Access Control, OWASP Top 10 considerations, Content-Security-Policy headers, X-Frame-Options DENY</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w:t>
            </w:r>
          </w:p>
        </w:tc>
        <w:tc>
          <w:tcPr>
            <w:tcW w:type="dxa" w:w="7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on all 18 tables (25+ policies); AES-256 encryption at rest; least-privilege service roles; no public direct access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Private storage buckets, access-policy-controlled signed URLs, file type/size restrictions on upload</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Secrets</w:t>
            </w:r>
          </w:p>
        </w:tc>
        <w:tc>
          <w:tcPr>
            <w:tcW w:type="dxa" w:w="7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Environment-variable secrets (Supabase keys, RBIS token) never committed to source control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append-only audit log; every significant action attributed to a user ID and timestamp</w:t>
            </w:r>
          </w:p>
        </w:tc>
      </w:tr>
    </w:tbl>
    <w:p>
      <w:pPr>
        <w:pStyle w:val="Heading2"/>
      </w:pPr>
      <w:r>
        <w:t xml:space="preserve">5.3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Environment</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Purpose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Data</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Access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Local development and feature testing</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Synthetic/sample seed data</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Developers only</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Staging / UAT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Pre-release validation and stakeholder review</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Anonymised or representative test data</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QA team and REMA stakeholders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Production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Live national reporting and dashboard use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 regulator-protected biodiversity data</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operations staff and authenticated end users</w:t>
            </w:r>
          </w:p>
        </w:tc>
      </w:tr>
    </w:tbl>
    <w:p>
      <w:pPr>
        <w:pStyle w:val="Heading2"/>
      </w:pPr>
      <w:r>
        <w:t xml:space="preserve">5.4 Network 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200"/>
        <w:gridCol w:w="1900"/>
        <w:gridCol w:w="700"/>
        <w:gridCol w:w="2260"/>
      </w:tblGrid>
      <w:tr>
        <w:trPr>
          <w:tblHeader/>
        </w:trPr>
        <w:tc>
          <w:tcPr>
            <w:tcW w:type="dxa" w:w="2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Flow</w:t>
            </w:r>
          </w:p>
        </w:tc>
        <w:tc>
          <w:tcPr>
            <w:tcW w:type="dxa" w:w="1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Protocol</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Source</w:t>
            </w:r>
          </w:p>
        </w:tc>
        <w:tc>
          <w:tcPr>
            <w:tcW w:type="dxa" w:w="19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Destination</w:t>
            </w:r>
          </w:p>
        </w:tc>
        <w:tc>
          <w:tcPr>
            <w:tcW w:type="dxa" w:w="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Port</w:t>
            </w:r>
          </w:p>
        </w:tc>
        <w:tc>
          <w:tcPr>
            <w:tcW w:type="dxa" w:w="22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Authentication</w:t>
            </w:r>
          </w:p>
        </w:tc>
      </w:tr>
      <w:tr>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Frontend</w:t>
            </w:r>
          </w:p>
        </w:tc>
        <w:tc>
          <w:tcPr>
            <w:tcW w:type="dxa" w:w="1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CDN</w:t>
            </w:r>
          </w:p>
        </w:tc>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 (public)</w:t>
            </w:r>
          </w:p>
        </w:tc>
      </w:tr>
      <w:tr>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Supabase API</w:t>
            </w:r>
          </w:p>
        </w:tc>
        <w:tc>
          <w:tcPr>
            <w:tcW w:type="dxa" w:w="1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Cloud</w:t>
            </w:r>
          </w:p>
        </w:tc>
        <w:tc>
          <w:tcPr>
            <w:tcW w:type="dxa" w:w="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(anon key + session)</w:t>
            </w:r>
          </w:p>
        </w:tc>
      </w:tr>
      <w:tr>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Supabase Realtime</w:t>
            </w:r>
          </w:p>
        </w:tc>
        <w:tc>
          <w:tcPr>
            <w:tcW w:type="dxa" w:w="1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WSS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Cloud</w:t>
            </w:r>
          </w:p>
        </w:tc>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session</w:t>
            </w:r>
          </w:p>
        </w:tc>
      </w:tr>
      <w:tr>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Edge Function -&gt; GBIF</w:t>
            </w:r>
          </w:p>
        </w:tc>
        <w:tc>
          <w:tcPr>
            <w:tcW w:type="dxa" w:w="1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api.gbif.org</w:t>
            </w:r>
          </w:p>
        </w:tc>
        <w:tc>
          <w:tcPr>
            <w:tcW w:type="dxa" w:w="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w:t>
            </w:r>
          </w:p>
        </w:tc>
      </w:tr>
      <w:tr>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RBIS</w:t>
            </w:r>
          </w:p>
        </w:tc>
        <w:tc>
          <w:tcPr>
            <w:tcW w:type="dxa" w:w="1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rbis.ur.ac.rw</w:t>
            </w:r>
          </w:p>
        </w:tc>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Bearer token</w:t>
            </w:r>
          </w:p>
        </w:tc>
      </w:tr>
    </w:tbl>
    <w:p>
      <w:r>
        <w:br w:type="page"/>
      </w:r>
    </w:p>
    <w:p>
      <w:pPr>
        <w:pStyle w:val="Heading1"/>
      </w:pPr>
      <w:r>
        <w:t xml:space="preserve">6. Integration, Availability &amp; Scalability</w:t>
      </w:r>
    </w:p>
    <w:p>
      <w:pPr>
        <w:pStyle w:val="Heading2"/>
      </w:pPr>
      <w:r>
        <w:t xml:space="preserve">6.1 External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NBSAP Dashboard       |</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 Supabase Edge   |--+----&gt;|   GBIF API        |</w:t>
            </w:r>
          </w:p>
          <w:p>
            <w:pPr>
              <w:spacing w:after="0"/>
            </w:pPr>
            <w:r>
              <w:rPr>
                <w:color w:val="444444"/>
                <w:sz w:val="16"/>
                <w:szCs w:val="16"/>
                <w:rFonts w:ascii="Courier New" w:cs="Courier New" w:eastAsia="Courier New" w:hAnsi="Courier New"/>
              </w:rPr>
              <w:t xml:space="preserve">|  | Function (proxy)|  |     | (species data)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 RBIS Service     |--+----&gt;|   RBIS API        |</w:t>
            </w:r>
          </w:p>
          <w:p>
            <w:pPr>
              <w:spacing w:after="0"/>
            </w:pPr>
            <w:r>
              <w:rPr>
                <w:color w:val="444444"/>
                <w:sz w:val="16"/>
                <w:szCs w:val="16"/>
                <w:rFonts w:ascii="Courier New" w:cs="Courier New" w:eastAsia="Courier New" w:hAnsi="Courier New"/>
              </w:rPr>
              <w:t xml:space="preserve">|  | (browser client) |  |     | (biodiversity     |</w:t>
            </w:r>
          </w:p>
          <w:p>
            <w:pPr>
              <w:spacing w:after="0"/>
            </w:pPr>
            <w:r>
              <w:rPr>
                <w:color w:val="444444"/>
                <w:sz w:val="16"/>
                <w:szCs w:val="16"/>
                <w:rFonts w:ascii="Courier New" w:cs="Courier New" w:eastAsia="Courier New" w:hAnsi="Courier New"/>
              </w:rPr>
              <w:t xml:space="preserve">|  +-----------------+  |     |  data streams)     |</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 Map Components   |--+----&gt;| Static GeoJSON    |</w:t>
            </w:r>
          </w:p>
          <w:p>
            <w:pPr>
              <w:spacing w:after="0"/>
            </w:pPr>
            <w:r>
              <w:rPr>
                <w:color w:val="444444"/>
                <w:sz w:val="16"/>
                <w:szCs w:val="16"/>
                <w:rFonts w:ascii="Courier New" w:cs="Courier New" w:eastAsia="Courier New" w:hAnsi="Courier New"/>
              </w:rPr>
              <w:t xml:space="preserve">|  | (Leaflet)         |  |     | (CDN-served)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w:t>
            </w:r>
          </w:p>
        </w:tc>
      </w:tr>
    </w:tbl>
    <w:p>
      <w:pPr>
        <w:pStyle w:val="Heading2"/>
      </w:pPr>
      <w:r>
        <w:t xml:space="preserve">6.2 Integration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Integration</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Failure Mode</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Behaviour</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down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Timeout after 30 seconds</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 shows cached data; map shows last-known occurrence records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 down</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error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Status indicator turns red; manual data entry continues unaffected</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down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unavailable</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system offline; users see a graceful error page</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GeoJSON CDN miss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404 error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 renders without the affected layer; warning logged to console</w:t>
            </w:r>
          </w:p>
        </w:tc>
      </w:tr>
    </w:tbl>
    <w:p>
      <w:pPr>
        <w:pStyle w:val="Heading2"/>
      </w:pPr>
      <w:r>
        <w:t xml:space="preserve">6.3 Availability &amp;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2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 SLA</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Redundancy / Backup Approach</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CDN</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99.99%</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Multi-region edge network</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Database</w:t>
            </w:r>
          </w:p>
        </w:tc>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99.9%</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Managed PostgreSQL with automated daily backups (7-30 day retention)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Auth</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99.9%</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Managed GoTrue service</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w:t>
            </w:r>
          </w:p>
        </w:tc>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Best-effort (external)</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Graceful degradation; last-fetched data cached client-side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Best-effort (external)</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 remains fully functional without RBIS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code</w:t>
            </w:r>
          </w:p>
        </w:tc>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GitHub repository, every commit preserved indefinitely</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Migration files</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Git-versioned SQL files, indefinite retention</w:t>
            </w:r>
          </w:p>
        </w:tc>
      </w:tr>
    </w:tbl>
    <w:p>
      <w:pPr>
        <w:pStyle w:val="Heading2"/>
      </w:pPr>
      <w:r>
        <w:t xml:space="preserve">6.4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Scenario</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Recovery Action</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Estimated Time</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deployment issue</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automatic rollback to the previous successful deployment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5 minutes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corruption</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Restore from the most recent Supabase daily backup</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1-4 hours</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Credential compromise</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Rotate Supabase keys and redeploy with updated environment variables</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30 minutes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Complete infrastructure loss</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Re-deploy from GitHub and re-run all 22 migrations on a new Supabase project</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 hours</w:t>
            </w:r>
          </w:p>
        </w:tc>
      </w:tr>
    </w:tbl>
    <w:p>
      <w:pPr>
        <w:pStyle w:val="Heading2"/>
      </w:pPr>
      <w:r>
        <w:t xml:space="preserve">6.5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Dimension</w:t>
            </w:r>
          </w:p>
        </w:tc>
        <w:tc>
          <w:tcPr>
            <w:tcW w:type="dxa" w:w="3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Current Design</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Headroom</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Concurrent users</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Designed for 500</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Sufficient for the current stakeholder base (~200 active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storage</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10,000+ reports</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Ample for quarterly reporting from 30 districts over a 5-year NBSAP cycle</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size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free tier (500MB)</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Current usage well under the limit</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calls</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free tier (500K/month)</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Current usage well under the limit</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free tier (1GB)</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Adequate for current evidence attachment volume</w:t>
            </w:r>
          </w:p>
        </w:tc>
      </w:tr>
    </w:tbl>
    <w:p>
      <w:pPr>
        <w:spacing w:after="80"/>
      </w:pPr>
      <w:r>
        <w:rPr>
          <w:sz w:val="2"/>
          <w:szCs w:val="2"/>
        </w:rPr>
      </w:r>
    </w:p>
    <w:p>
      <w:pPr>
        <w:spacing w:after="120" w:line="300"/>
      </w:pPr>
      <w:r>
        <w:rPr>
          <w:b w:val="false"/>
          <w:bCs w:val="false"/>
          <w:i/>
          <w:iCs/>
          <w:color w:val="000000"/>
          <w:sz w:val="22"/>
          <w:szCs w:val="22"/>
          <w:rFonts w:ascii="Arial" w:cs="Arial" w:eastAsia="Arial" w:hAnsi="Arial"/>
        </w:rPr>
        <w:t xml:space="preserve">Should usage grow beyond current capacity, the recommended scaling path is to upgrade Supabase to its Pro tier (database, storage and API call ceilings all expand at a fixed monthly cost), provision an additional regional Supabase project if the system expands beyond Rwanda, and reuse the same backend for a future companion mobile application built with React Native.</w:t>
      </w:r>
    </w:p>
    <w:p>
      <w:pPr>
        <w:pStyle w:val="Heading2"/>
      </w:pPr>
      <w:r>
        <w:t xml:space="preserve">6.6 Technology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Technology</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Current Status</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End-of-Support Risk</w:t>
            </w:r>
          </w:p>
        </w:tc>
        <w:tc>
          <w:tcPr>
            <w:tcW w:type="dxa" w:w="3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Upgrade Path</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18</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(LTS)</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Low (2027+)</w:t>
            </w:r>
          </w:p>
        </w:tc>
        <w:tc>
          <w:tcPr>
            <w:tcW w:type="dxa" w:w="3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Move to React 19 once stable</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 5.2</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Very low</w:t>
            </w:r>
          </w:p>
        </w:tc>
        <w:tc>
          <w:tcPr>
            <w:tcW w:type="dxa" w:w="3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Incremental version upgrades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 5.0</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Low</w:t>
            </w:r>
          </w:p>
        </w:tc>
        <w:tc>
          <w:tcPr>
            <w:tcW w:type="dxa" w:w="3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Non-breaking upgrades to Vite 6+</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15</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(LTS)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Very low (2027+)</w:t>
            </w:r>
          </w:p>
        </w:tc>
        <w:tc>
          <w:tcPr>
            <w:tcW w:type="dxa" w:w="3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manages database version upgrades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Node.js (build tooling)</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(LTS)</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Moderate</w:t>
            </w:r>
          </w:p>
        </w:tc>
        <w:tc>
          <w:tcPr>
            <w:tcW w:type="dxa" w:w="3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Track Node.js LTS releases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Leaflet.js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Stable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Very low</w:t>
            </w:r>
          </w:p>
        </w:tc>
        <w:tc>
          <w:tcPr>
            <w:tcW w:type="dxa" w:w="3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Actively maintained open-source project</w:t>
            </w:r>
          </w:p>
        </w:tc>
      </w:tr>
    </w:tbl>
    <w:p>
      <w:r>
        <w:br w:type="page"/>
      </w:r>
    </w:p>
    <w:p>
      <w:pPr>
        <w:pStyle w:val="Heading1"/>
      </w:pPr>
      <w:r>
        <w:t xml:space="preserve">7.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System Architecture Document has been reviewed and is approved as the authoritative technical architecture reference for the Rwanda NBSAP Monitoring Dashboard.</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Appendix A: Complete System Entity-Relationship Diagram</w:t>
      </w:r>
    </w:p>
    <w:p>
      <w:pPr>
        <w:spacing w:after="120" w:line="300"/>
      </w:pPr>
      <w:r>
        <w:rPr>
          <w:b w:val="false"/>
          <w:bCs w:val="false"/>
          <w:i w:val="false"/>
          <w:iCs w:val="false"/>
          <w:color w:val="000000"/>
          <w:sz w:val="22"/>
          <w:szCs w:val="22"/>
          <w:rFonts w:ascii="Arial" w:cs="Arial" w:eastAsia="Arial" w:hAnsi="Arial"/>
        </w:rPr>
        <w:t xml:space="preserve">This appendix consolidates all four domain-scoped diagrams from Section 4.4 into a single, authoritative entity-relationship diagram covering all 20 database tables (19 production tables plus the Supabase-managed auth.users table), each with its full column list, PostgreSQL data type, and primary/foreign key markers. Tables are grouped into five labelled domains — Core NBSAP Domain, Reporting &amp; AI Extraction Pipeline, User Identity &amp; Access Control, Geographic Reference Data, and Standalone Reference/Configuration Tables — matching the structure of the underlying physical schema documented in ERD.md. This page is set in landscape orientation and the source image is rendered at high resolution; reviewers may zoom in within Word (or a PDF export) to inspect any individual column without loss of clarity.</w:t>
      </w:r>
    </w:p>
    <w:p>
      <w:pPr>
        <w:spacing w:before="120" w:after="60"/>
        <w:jc w:val="center"/>
      </w:pPr>
      <w:r>
        <w:drawing>
          <wp:inline distT="0" distB="0" distL="0" distR="0">
            <wp:extent cx="8572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4933950"/>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A.1 — Complete System Entity-Relationship Diagram (all 20 tables, full columns, full PostgreSQL types)</w:t>
      </w:r>
    </w:p>
    <w:p>
      <w:pPr>
        <w:pStyle w:val="Heading2"/>
      </w:pPr>
      <w:r>
        <w:t xml:space="preserve">A.1 PostgreSQL Enum Type Reference</w:t>
      </w:r>
    </w:p>
    <w:p>
      <w:pPr>
        <w:spacing w:after="120" w:line="300"/>
      </w:pPr>
      <w:r>
        <w:rPr>
          <w:b w:val="false"/>
          <w:bCs w:val="false"/>
          <w:i w:val="false"/>
          <w:iCs w:val="false"/>
          <w:color w:val="000000"/>
          <w:sz w:val="22"/>
          <w:szCs w:val="22"/>
          <w:rFonts w:ascii="Arial" w:cs="Arial" w:eastAsia="Arial" w:hAnsi="Arial"/>
        </w:rPr>
        <w:t xml:space="preserve">The following 9 enumerated types constrain the values of specific columns referenced in Figure A.1 and throughout Section 4. Listing them here completes the schema documentation: every custom (non-primitive) type used anywhere in the database is fully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Enum Type</w:t>
            </w:r>
          </w:p>
        </w:tc>
        <w:tc>
          <w:tcPr>
            <w:tcW w:type="dxa" w:w="4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Permitted Values</w:t>
            </w:r>
          </w:p>
        </w:tc>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Used By (table.column)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user_role</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policy_monitoring, lead_government_ministry_reporting, local_reporting, dashboard_management, programme_alignment, public_viewer</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profiles.role</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indicator_status</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on-track, at-risk, behind</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indicators.status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indicator_tier</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headline, component, complementary, binary</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indicators.tier</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submission_status</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pending, approved, rejected</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toolkit_reports.status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district_status</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submitted, pending, missing</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districts.status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report_type</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 T02, T03, T04, T05, T06, T07</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toolkit_reports.tool_id</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risk_level</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 Medium, Low</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risks.level</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gbf_goal</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B, C, D</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nbsap_targets.goal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request_status</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pending, approved, rejected, cancelled, stale</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role_change_requests.status</w:t>
            </w:r>
          </w:p>
        </w:tc>
      </w:tr>
    </w:tbl>
    <w:p>
      <w:pPr>
        <w:pStyle w:val="Heading2"/>
      </w:pPr>
      <w:r>
        <w:t xml:space="preserve">A.2 Table Inventory Summary</w:t>
      </w:r>
    </w:p>
    <w:p>
      <w:pPr>
        <w:spacing w:after="120" w:line="300"/>
      </w:pPr>
      <w:r>
        <w:rPr>
          <w:b w:val="false"/>
          <w:bCs w:val="false"/>
          <w:i w:val="false"/>
          <w:iCs w:val="false"/>
          <w:color w:val="000000"/>
          <w:sz w:val="22"/>
          <w:szCs w:val="22"/>
          <w:rFonts w:ascii="Arial" w:cs="Arial" w:eastAsia="Arial" w:hAnsi="Arial"/>
        </w:rPr>
        <w:t xml:space="preserve">20 tables in total: 1 Supabase-managed identity table (auth.users) and 19 application tables, none of which are abbreviated or omitted from Figure A.1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360"/>
        <w:gridCol w:w="800"/>
      </w:tblGrid>
      <w:tr>
        <w:trPr>
          <w:tblHeader/>
        </w:trPr>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Domain</w:t>
            </w:r>
          </w:p>
        </w:tc>
        <w:tc>
          <w:tcPr>
            <w:tcW w:type="dxa" w:w="5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Tables</w:t>
            </w:r>
          </w:p>
        </w:tc>
        <w:tc>
          <w:tcPr>
            <w:tcW w:type="dxa" w:w="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Count</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Core NBSAP Domain</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 indicators, system_metrics</w:t>
            </w:r>
          </w:p>
        </w:tc>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 &amp; AI Extraction Pipeline</w:t>
            </w:r>
          </w:p>
        </w:tc>
        <w:tc>
          <w:tcPr>
            <w:tcW w:type="dxa" w:w="5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report_attachments, ai_extractions, ai_extraction_proposals</w:t>
            </w:r>
          </w:p>
        </w:tc>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Identity &amp; Access Control</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auth_users, profiles, user_settings, notification_preferences, notifications, audit_log, role_change_requests</w:t>
            </w:r>
          </w:p>
        </w:tc>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7</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Geographic Reference Data</w:t>
            </w:r>
          </w:p>
        </w:tc>
        <w:tc>
          <w:tcPr>
            <w:tcW w:type="dxa" w:w="5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provinces, districts, lakes, compliance_records</w:t>
            </w:r>
          </w:p>
        </w:tc>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Standalone Reference / Configuration</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risks, tool_weights</w:t>
            </w:r>
          </w:p>
        </w:tc>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w:t>
            </w:r>
          </w:p>
        </w:tc>
      </w:tr>
    </w:tbl>
    <w:sectPr>
      <w:headerReference w:type="default" r:id="rId8"/>
      <w:footerReference w:type="default" r:id="rId9"/>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System Architecture Document (SAD)</w:t>
    </w:r>
    <w:r>
      <w:rPr>
        <w:i/>
        <w:iCs/>
        <w:color w:val="444444"/>
        <w:sz w:val="18"/>
        <w:szCs w:val="18"/>
        <w:rFonts w:ascii="Arial" w:cs="Arial" w:eastAsia="Arial" w:hAnsi="Arial"/>
      </w:rPr>
      <w:t xml:space="preserve">	Confidential Internal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System Architecture Document (SAD) — Appendix A</w:t>
    </w:r>
    <w:r>
      <w:rPr>
        <w:i/>
        <w:iCs/>
        <w:color w:val="444444"/>
        <w:sz w:val="18"/>
        <w:szCs w:val="18"/>
        <w:rFonts w:ascii="Arial" w:cs="Arial" w:eastAsia="Arial" w:hAnsi="Arial"/>
      </w:rPr>
      <w:t xml:space="preserve">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444444"/>
        <w:rFonts w:ascii="Arial" w:cs="Arial" w:eastAsia="Arial" w:hAnsi="Arial"/>
      </w:rPr>
    </w:lvl>
    <w:lvl w:ilvl="1" w15:tentative="1">
      <w:start w:val="1"/>
      <w:numFmt w:val="bullet"/>
      <w:lvlText w:val="○"/>
      <w:lvlJc w:val="left"/>
      <w:pPr>
        <w:ind w:left="960" w:hanging="240"/>
      </w:pPr>
      <w:rPr>
        <w:color w:val="444444"/>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F4E8C"/>
      <w:sz w:val="32"/>
      <w:szCs w:val="32"/>
      <w:rFonts w:ascii="Arial" w:cs="Arial" w:eastAsia="Arial" w:hAnsi="Arial"/>
    </w:rPr>
  </w:style>
  <w:style w:type="paragraph" w:styleId="Heading2">
    <w:name w:val="Heading 2"/>
    <w:basedOn w:val="Normal"/>
    <w:next w:val="Normal"/>
    <w:qFormat/>
    <w:pPr>
      <w:pBdr>
        <w:bottom w:val="single" w:color="2E6DB4" w:sz="6" w:space="4"/>
      </w:pBdr>
      <w:spacing w:before="240" w:after="120"/>
      <w:outlineLvl w:val="1"/>
    </w:pPr>
    <w:rPr>
      <w:b/>
      <w:bCs/>
      <w:color w:val="2E6DB4"/>
      <w:sz w:val="26"/>
      <w:szCs w:val="26"/>
      <w:rFonts w:ascii="Arial" w:cs="Arial" w:eastAsia="Arial" w:hAnsi="Arial"/>
    </w:rPr>
  </w:style>
  <w:style w:type="paragraph" w:styleId="Heading3">
    <w:name w:val="Heading 3"/>
    <w:basedOn w:val="Normal"/>
    <w:next w:val="Normal"/>
    <w:qFormat/>
    <w:pPr>
      <w:spacing w:before="180" w:after="80"/>
      <w:outlineLvl w:val="2"/>
    </w:pPr>
    <w:rPr>
      <w:b/>
      <w:bCs/>
      <w:color w:val="444444"/>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ggzt6fzxltjp-xffjv6ga.png"/><Relationship Id="rId11" Type="http://schemas.openxmlformats.org/officeDocument/2006/relationships/image" Target="media/z1nhiqn2_sagap54tolfx.png"/><Relationship Id="rId12" Type="http://schemas.openxmlformats.org/officeDocument/2006/relationships/image" Target="media/1k56jhy7wxueexwmfj3df.png"/><Relationship Id="rId13" Type="http://schemas.openxmlformats.org/officeDocument/2006/relationships/image" Target="media/h_iilczr26acwlkxp_x-c.png"/><Relationship Id="rId14" Type="http://schemas.openxmlformats.org/officeDocument/2006/relationships/image" Target="media/-pha2wpe-pxhichukl_lk.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2026-06-20T11:51:35.239Z</dcterms:created>
  <dcterms:modified xsi:type="dcterms:W3CDTF">2026-06-20T11:51:35.239Z</dcterms:modified>
</cp:coreProperties>
</file>

<file path=docProps/custom.xml><?xml version="1.0" encoding="utf-8"?>
<Properties xmlns="http://schemas.openxmlformats.org/officeDocument/2006/custom-properties" xmlns:vt="http://schemas.openxmlformats.org/officeDocument/2006/docPropsVTypes"/>
</file>